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E510" w14:textId="112CF42E" w:rsidR="00B85C67" w:rsidRDefault="00594DD0" w:rsidP="00B85C67">
      <w:pPr>
        <w:rPr>
          <w:rFonts w:eastAsia="Times New Roman"/>
        </w:rPr>
      </w:pPr>
      <w:r>
        <w:rPr>
          <w:rFonts w:ascii="Arial" w:hAnsi="Arial" w:cs="Arial"/>
          <w:b/>
          <w:bCs/>
          <w:sz w:val="20"/>
          <w:szCs w:val="20"/>
        </w:rPr>
        <w:t xml:space="preserve">3GPP TSG RAN WG1 Meeting </w:t>
      </w:r>
      <w:r w:rsidR="001B2D32">
        <w:rPr>
          <w:rFonts w:ascii="Arial" w:hAnsi="Arial" w:cs="Arial"/>
          <w:b/>
          <w:bCs/>
          <w:sz w:val="20"/>
          <w:szCs w:val="20"/>
        </w:rPr>
        <w:t>#</w:t>
      </w:r>
      <w:r>
        <w:rPr>
          <w:rFonts w:ascii="Arial" w:hAnsi="Arial" w:cs="Arial"/>
          <w:b/>
          <w:bCs/>
          <w:sz w:val="20"/>
          <w:szCs w:val="20"/>
        </w:rPr>
        <w:t>92</w:t>
      </w:r>
      <w:r w:rsidR="00D725CD">
        <w:rPr>
          <w:rFonts w:ascii="Arial" w:hAnsi="Arial" w:cs="Arial"/>
          <w:b/>
          <w:bCs/>
          <w:sz w:val="20"/>
          <w:szCs w:val="20"/>
        </w:rPr>
        <w:t>bis</w:t>
      </w:r>
      <w:r w:rsidR="00B11415" w:rsidRPr="00B11415">
        <w:rPr>
          <w:rFonts w:ascii="Arial" w:hAnsi="Arial" w:cs="Arial"/>
          <w:b/>
          <w:bCs/>
          <w:sz w:val="20"/>
          <w:szCs w:val="20"/>
        </w:rPr>
        <w:t xml:space="preserve"> </w:t>
      </w:r>
      <w:r w:rsidR="00B11415" w:rsidRPr="00B11415">
        <w:rPr>
          <w:rFonts w:ascii="Arial" w:eastAsia="MS Mincho" w:hAnsi="Arial" w:cs="Arial"/>
          <w:b/>
          <w:bCs/>
          <w:sz w:val="20"/>
          <w:szCs w:val="20"/>
          <w:lang w:eastAsia="ja-JP"/>
        </w:rPr>
        <w:tab/>
      </w:r>
      <w:r w:rsidR="00B11415" w:rsidRPr="00B11415">
        <w:rPr>
          <w:rFonts w:ascii="Arial" w:hAnsi="Arial" w:cs="Arial"/>
          <w:b/>
          <w:bCs/>
          <w:sz w:val="20"/>
          <w:szCs w:val="20"/>
        </w:rPr>
        <w:tab/>
      </w:r>
      <w:r w:rsidR="00B11415" w:rsidRPr="00B11415">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Pr>
          <w:rFonts w:ascii="Arial" w:hAnsi="Arial" w:cs="Arial"/>
          <w:b/>
          <w:bCs/>
          <w:sz w:val="20"/>
          <w:szCs w:val="20"/>
        </w:rPr>
        <w:t>R1-180</w:t>
      </w:r>
      <w:r w:rsidR="009A162F">
        <w:rPr>
          <w:rFonts w:ascii="Arial" w:hAnsi="Arial" w:cs="Arial"/>
          <w:b/>
          <w:bCs/>
          <w:sz w:val="20"/>
          <w:szCs w:val="20"/>
        </w:rPr>
        <w:t>4769</w:t>
      </w:r>
    </w:p>
    <w:p w14:paraId="2A527F7E" w14:textId="21DDD5F3" w:rsidR="00B11415" w:rsidRPr="00B11415" w:rsidRDefault="009A162F" w:rsidP="00B11415">
      <w:pPr>
        <w:tabs>
          <w:tab w:val="center" w:pos="4536"/>
          <w:tab w:val="right" w:pos="9072"/>
        </w:tabs>
        <w:rPr>
          <w:rFonts w:ascii="Arial" w:eastAsia="MS Mincho" w:hAnsi="Arial" w:cs="Arial"/>
          <w:b/>
          <w:bCs/>
          <w:sz w:val="20"/>
          <w:szCs w:val="20"/>
          <w:lang w:eastAsia="ja-JP"/>
        </w:rPr>
      </w:pPr>
      <w:r>
        <w:rPr>
          <w:rFonts w:ascii="Arial" w:eastAsia="MS Mincho" w:hAnsi="Arial" w:cs="Arial"/>
          <w:b/>
          <w:bCs/>
          <w:sz w:val="20"/>
          <w:szCs w:val="20"/>
          <w:lang w:eastAsia="ja-JP"/>
        </w:rPr>
        <w:t>Sanya</w:t>
      </w:r>
      <w:r w:rsidR="00B11415" w:rsidRPr="00B11415">
        <w:rPr>
          <w:rFonts w:ascii="Arial" w:eastAsia="MS Mincho" w:hAnsi="Arial" w:cs="Arial"/>
          <w:b/>
          <w:bCs/>
          <w:sz w:val="20"/>
          <w:szCs w:val="20"/>
          <w:lang w:eastAsia="ja-JP"/>
        </w:rPr>
        <w:t xml:space="preserve">, </w:t>
      </w:r>
      <w:r>
        <w:rPr>
          <w:rFonts w:ascii="Arial" w:eastAsia="MS Mincho" w:hAnsi="Arial" w:cs="Arial"/>
          <w:b/>
          <w:bCs/>
          <w:sz w:val="20"/>
          <w:szCs w:val="20"/>
          <w:lang w:eastAsia="ja-JP"/>
        </w:rPr>
        <w:t>China</w:t>
      </w:r>
      <w:r w:rsidR="00B11415" w:rsidRPr="00B11415">
        <w:rPr>
          <w:rFonts w:ascii="Arial" w:eastAsia="MS Mincho" w:hAnsi="Arial" w:cs="Arial"/>
          <w:b/>
          <w:bCs/>
          <w:sz w:val="20"/>
          <w:szCs w:val="20"/>
          <w:lang w:eastAsia="ja-JP"/>
        </w:rPr>
        <w:t xml:space="preserve">, </w:t>
      </w:r>
      <w:r>
        <w:rPr>
          <w:rFonts w:ascii="Arial" w:eastAsia="MS Mincho" w:hAnsi="Arial" w:cs="Arial"/>
          <w:b/>
          <w:bCs/>
          <w:sz w:val="20"/>
          <w:szCs w:val="20"/>
          <w:lang w:eastAsia="ja-JP"/>
        </w:rPr>
        <w:t>April 1</w:t>
      </w:r>
      <w:r w:rsidR="00594DD0">
        <w:rPr>
          <w:rFonts w:ascii="Arial" w:eastAsia="MS Mincho" w:hAnsi="Arial" w:cs="Arial"/>
          <w:b/>
          <w:bCs/>
          <w:sz w:val="20"/>
          <w:szCs w:val="20"/>
          <w:lang w:eastAsia="ja-JP"/>
        </w:rPr>
        <w:t>6</w:t>
      </w:r>
      <w:r w:rsidR="00B11415" w:rsidRPr="00B11415">
        <w:rPr>
          <w:rFonts w:ascii="Arial" w:eastAsia="MS Mincho" w:hAnsi="Arial" w:cs="Arial"/>
          <w:b/>
          <w:bCs/>
          <w:sz w:val="20"/>
          <w:szCs w:val="20"/>
          <w:vertAlign w:val="superscript"/>
          <w:lang w:eastAsia="ja-JP"/>
        </w:rPr>
        <w:t>th</w:t>
      </w:r>
      <w:r w:rsidR="00594DD0">
        <w:rPr>
          <w:rFonts w:ascii="Arial" w:eastAsia="MS Mincho" w:hAnsi="Arial" w:cs="Arial"/>
          <w:b/>
          <w:bCs/>
          <w:sz w:val="20"/>
          <w:szCs w:val="20"/>
          <w:lang w:eastAsia="ja-JP"/>
        </w:rPr>
        <w:t xml:space="preserve"> – </w:t>
      </w:r>
      <w:r>
        <w:rPr>
          <w:rFonts w:ascii="Arial" w:eastAsia="MS Mincho" w:hAnsi="Arial" w:cs="Arial"/>
          <w:b/>
          <w:bCs/>
          <w:sz w:val="20"/>
          <w:szCs w:val="20"/>
          <w:lang w:eastAsia="ja-JP"/>
        </w:rPr>
        <w:t>20</w:t>
      </w:r>
      <w:r w:rsidRPr="009A162F">
        <w:rPr>
          <w:rFonts w:ascii="Arial" w:eastAsia="MS Mincho" w:hAnsi="Arial" w:cs="Arial"/>
          <w:b/>
          <w:bCs/>
          <w:sz w:val="20"/>
          <w:szCs w:val="20"/>
          <w:vertAlign w:val="superscript"/>
          <w:lang w:eastAsia="ja-JP"/>
        </w:rPr>
        <w:t>th</w:t>
      </w:r>
      <w:r w:rsidR="00594DD0">
        <w:rPr>
          <w:rFonts w:ascii="Arial" w:eastAsia="MS Mincho" w:hAnsi="Arial" w:cs="Arial"/>
          <w:b/>
          <w:bCs/>
          <w:sz w:val="20"/>
          <w:szCs w:val="20"/>
          <w:lang w:eastAsia="ja-JP"/>
        </w:rPr>
        <w:t>, 2018</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6BA839B8"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594DD0">
        <w:rPr>
          <w:sz w:val="22"/>
          <w:szCs w:val="22"/>
        </w:rPr>
        <w:t>6.4</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4C7B8360" w14:textId="07A47D8A" w:rsidR="008E401E" w:rsidRDefault="003D3C45" w:rsidP="00311702">
      <w:pPr>
        <w:pStyle w:val="3GPPHeader"/>
        <w:rPr>
          <w:sz w:val="22"/>
          <w:szCs w:val="22"/>
        </w:rPr>
      </w:pPr>
      <w:r w:rsidRPr="00315C6E">
        <w:rPr>
          <w:sz w:val="22"/>
          <w:szCs w:val="22"/>
        </w:rPr>
        <w:t>Title:</w:t>
      </w:r>
      <w:r w:rsidR="00E90E49" w:rsidRPr="00315C6E">
        <w:rPr>
          <w:sz w:val="22"/>
          <w:szCs w:val="22"/>
        </w:rPr>
        <w:tab/>
      </w:r>
      <w:r w:rsidR="00B01D07">
        <w:rPr>
          <w:sz w:val="22"/>
          <w:szCs w:val="22"/>
        </w:rPr>
        <w:t>NR Unlicensed Considerations</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Default="00E90E49" w:rsidP="00226A79">
      <w:pPr>
        <w:pStyle w:val="Heading1"/>
      </w:pPr>
      <w:r w:rsidRPr="00315C6E">
        <w:t>Introduction</w:t>
      </w:r>
    </w:p>
    <w:p w14:paraId="00D5796C" w14:textId="74009239" w:rsidR="00380D0E" w:rsidRDefault="00380D0E" w:rsidP="00380D0E">
      <w:pPr>
        <w:jc w:val="both"/>
      </w:pPr>
      <w:r>
        <w:t>LTE based unlicensed operation</w:t>
      </w:r>
      <w:r w:rsidR="00723279">
        <w:t>s</w:t>
      </w:r>
      <w:r>
        <w:t>, i.e. LAA/eLAA, were</w:t>
      </w:r>
      <w:r w:rsidR="00D74F31">
        <w:t xml:space="preserve"> introduced </w:t>
      </w:r>
      <w:r>
        <w:t xml:space="preserve">starting </w:t>
      </w:r>
      <w:r w:rsidR="00D74F31">
        <w:t>from Rel-13</w:t>
      </w:r>
      <w:r>
        <w:t xml:space="preserve">. As NR phase 1 specification was recently frozen, and </w:t>
      </w:r>
      <w:r w:rsidR="00723279">
        <w:t>phase 2</w:t>
      </w:r>
      <w:r>
        <w:t xml:space="preserve"> Rel-15 specifications expected to be completed by June 2018, it </w:t>
      </w:r>
      <w:r w:rsidR="00723279">
        <w:t xml:space="preserve">is </w:t>
      </w:r>
      <w:r>
        <w:t>beneficial t</w:t>
      </w:r>
      <w:r w:rsidR="00723279">
        <w:t>o study the potential leverage</w:t>
      </w:r>
      <w:r>
        <w:t xml:space="preserve"> of new NR design</w:t>
      </w:r>
      <w:r w:rsidR="00723279">
        <w:t>s</w:t>
      </w:r>
      <w:r>
        <w:t xml:space="preserve"> to enhance the </w:t>
      </w:r>
      <w:r w:rsidR="00723279">
        <w:t xml:space="preserve">NR-based </w:t>
      </w:r>
      <w:r>
        <w:t xml:space="preserve">unlicensed access. </w:t>
      </w:r>
    </w:p>
    <w:p w14:paraId="4862446F" w14:textId="77777777" w:rsidR="00380D0E" w:rsidRDefault="00380D0E" w:rsidP="00380D0E">
      <w:pPr>
        <w:jc w:val="both"/>
      </w:pPr>
    </w:p>
    <w:p w14:paraId="2FF873FA" w14:textId="3BCB9D04" w:rsidR="00D74F31" w:rsidRDefault="00380D0E" w:rsidP="00380D0E">
      <w:pPr>
        <w:jc w:val="both"/>
      </w:pPr>
      <w:r>
        <w:t xml:space="preserve">A Rel-15 study item on NR-based unlicensed access has been approved to study the solutions applicable to </w:t>
      </w:r>
      <w:r w:rsidR="00A10CD6">
        <w:t xml:space="preserve">potential spectrum candidates both below and above 6Ghz, as well as various deployment scenarios, including CA or DC based LAA and standalone </w:t>
      </w:r>
      <w:r w:rsidR="00723279">
        <w:t>based unlicensed</w:t>
      </w:r>
      <w:r w:rsidR="00A10CD6">
        <w:t xml:space="preserve"> operations. </w:t>
      </w:r>
      <w:r>
        <w:t xml:space="preserve">  </w:t>
      </w:r>
    </w:p>
    <w:p w14:paraId="74E4FD9E" w14:textId="77777777" w:rsidR="00380D0E" w:rsidRPr="00D74F31" w:rsidRDefault="00380D0E" w:rsidP="00D74F31"/>
    <w:p w14:paraId="2638A990" w14:textId="201EE0EE" w:rsidR="00D74F31" w:rsidRDefault="00D74F31" w:rsidP="009A28B6">
      <w:pPr>
        <w:jc w:val="both"/>
        <w:rPr>
          <w:bCs/>
        </w:rPr>
      </w:pPr>
      <w:r>
        <w:rPr>
          <w:bCs/>
        </w:rPr>
        <w:t xml:space="preserve">Specifically, the study item will include the following objectives </w:t>
      </w:r>
      <w:r>
        <w:rPr>
          <w:bCs/>
        </w:rPr>
        <w:fldChar w:fldCharType="begin"/>
      </w:r>
      <w:r>
        <w:rPr>
          <w:bCs/>
        </w:rPr>
        <w:instrText xml:space="preserve"> REF _Ref506552387 \n \h </w:instrText>
      </w:r>
      <w:r w:rsidR="009A28B6">
        <w:rPr>
          <w:bCs/>
        </w:rPr>
        <w:instrText xml:space="preserve"> \* MERGEFORMAT </w:instrText>
      </w:r>
      <w:r>
        <w:rPr>
          <w:bCs/>
        </w:rPr>
      </w:r>
      <w:r>
        <w:rPr>
          <w:bCs/>
        </w:rPr>
        <w:fldChar w:fldCharType="separate"/>
      </w:r>
      <w:r w:rsidR="00FE3D51">
        <w:rPr>
          <w:bCs/>
        </w:rPr>
        <w:t>[1]</w:t>
      </w:r>
      <w:r>
        <w:rPr>
          <w:bCs/>
        </w:rPr>
        <w:fldChar w:fldCharType="end"/>
      </w:r>
      <w:r>
        <w:rPr>
          <w:bCs/>
        </w:rPr>
        <w:t xml:space="preserve">: </w:t>
      </w:r>
    </w:p>
    <w:p w14:paraId="66CDC177" w14:textId="77777777" w:rsidR="00D74F31" w:rsidRDefault="00D74F31" w:rsidP="009A28B6">
      <w:pPr>
        <w:jc w:val="both"/>
        <w:rPr>
          <w:bCs/>
        </w:rPr>
      </w:pPr>
    </w:p>
    <w:p w14:paraId="7E83EF5B" w14:textId="77777777" w:rsidR="00D74F31" w:rsidRPr="00380148" w:rsidRDefault="00D74F31" w:rsidP="009A28B6">
      <w:pPr>
        <w:numPr>
          <w:ilvl w:val="0"/>
          <w:numId w:val="29"/>
        </w:numPr>
        <w:overflowPunct w:val="0"/>
        <w:autoSpaceDE w:val="0"/>
        <w:autoSpaceDN w:val="0"/>
        <w:adjustRightInd w:val="0"/>
        <w:jc w:val="both"/>
        <w:textAlignment w:val="baseline"/>
        <w:rPr>
          <w:bCs/>
        </w:rPr>
      </w:pPr>
      <w:r>
        <w:rPr>
          <w:bCs/>
        </w:rPr>
        <w:t xml:space="preserve">Study NR-based operation in unlicensed spectrum </w:t>
      </w:r>
      <w:r w:rsidRPr="00380148">
        <w:rPr>
          <w:bCs/>
        </w:rPr>
        <w:t>(RAN1, RAN2, RAN4)</w:t>
      </w:r>
      <w:r>
        <w:rPr>
          <w:bCs/>
        </w:rPr>
        <w:t xml:space="preserve"> including </w:t>
      </w:r>
    </w:p>
    <w:p w14:paraId="2682834D" w14:textId="77777777" w:rsidR="00D74F31" w:rsidRDefault="00D74F31" w:rsidP="009A28B6">
      <w:pPr>
        <w:numPr>
          <w:ilvl w:val="1"/>
          <w:numId w:val="30"/>
        </w:numPr>
        <w:overflowPunct w:val="0"/>
        <w:autoSpaceDE w:val="0"/>
        <w:autoSpaceDN w:val="0"/>
        <w:adjustRightInd w:val="0"/>
        <w:jc w:val="both"/>
        <w:textAlignment w:val="baseline"/>
        <w:rPr>
          <w:bCs/>
        </w:rPr>
      </w:pPr>
      <w:r>
        <w:rPr>
          <w:bCs/>
        </w:rPr>
        <w:t>Physical channels inheriting the choices of duplex mode, waveform, carrier bandwidth, subcarrier spacing, frame structure, and physical layer design made as part of the NR study and avoiding unnecessary divergence with decisions made in the NR WI</w:t>
      </w:r>
    </w:p>
    <w:p w14:paraId="77F3E395" w14:textId="77777777" w:rsidR="00D74F31" w:rsidRDefault="00D74F31" w:rsidP="009A28B6">
      <w:pPr>
        <w:numPr>
          <w:ilvl w:val="2"/>
          <w:numId w:val="30"/>
        </w:numPr>
        <w:overflowPunct w:val="0"/>
        <w:autoSpaceDE w:val="0"/>
        <w:autoSpaceDN w:val="0"/>
        <w:adjustRightInd w:val="0"/>
        <w:jc w:val="both"/>
        <w:textAlignment w:val="baseline"/>
        <w:rPr>
          <w:bCs/>
        </w:rPr>
      </w:pPr>
      <w:r>
        <w:rPr>
          <w:bCs/>
        </w:rPr>
        <w:t>Consider unlicensed bands both below and above 6GHz, up to 52.6GHz</w:t>
      </w:r>
    </w:p>
    <w:p w14:paraId="626EB753" w14:textId="77777777" w:rsidR="00D74F31" w:rsidRDefault="00D74F31" w:rsidP="009A28B6">
      <w:pPr>
        <w:numPr>
          <w:ilvl w:val="2"/>
          <w:numId w:val="30"/>
        </w:numPr>
        <w:overflowPunct w:val="0"/>
        <w:autoSpaceDE w:val="0"/>
        <w:autoSpaceDN w:val="0"/>
        <w:adjustRightInd w:val="0"/>
        <w:jc w:val="both"/>
        <w:textAlignment w:val="baseline"/>
        <w:rPr>
          <w:bCs/>
        </w:rPr>
      </w:pPr>
      <w:r>
        <w:rPr>
          <w:bCs/>
        </w:rPr>
        <w:t xml:space="preserve">Consider unlicensed bands above 52.6GHz to the extent that waveform design principles remain unchanged with respect to below 52.6GHz bands </w:t>
      </w:r>
    </w:p>
    <w:p w14:paraId="4C7BD015" w14:textId="77777777" w:rsidR="00D74F31" w:rsidRPr="006D32D5" w:rsidRDefault="00D74F31" w:rsidP="009A28B6">
      <w:pPr>
        <w:numPr>
          <w:ilvl w:val="2"/>
          <w:numId w:val="30"/>
        </w:numPr>
        <w:overflowPunct w:val="0"/>
        <w:autoSpaceDE w:val="0"/>
        <w:autoSpaceDN w:val="0"/>
        <w:adjustRightInd w:val="0"/>
        <w:jc w:val="both"/>
        <w:textAlignment w:val="baseline"/>
        <w:rPr>
          <w:bCs/>
        </w:rPr>
      </w:pPr>
      <w:r>
        <w:rPr>
          <w:rFonts w:hint="eastAsia"/>
          <w:bCs/>
        </w:rPr>
        <w:t xml:space="preserve">Consider similar forward compatibility </w:t>
      </w:r>
      <w:r>
        <w:rPr>
          <w:bCs/>
        </w:rPr>
        <w:t>principles</w:t>
      </w:r>
      <w:r>
        <w:rPr>
          <w:rFonts w:hint="eastAsia"/>
          <w:bCs/>
        </w:rPr>
        <w:t xml:space="preserve"> made in the NR WI</w:t>
      </w:r>
      <w:r w:rsidRPr="006D32D5">
        <w:rPr>
          <w:bCs/>
        </w:rPr>
        <w:t xml:space="preserve"> </w:t>
      </w:r>
    </w:p>
    <w:p w14:paraId="44EA82CE" w14:textId="77777777" w:rsidR="00D74F31" w:rsidRPr="00BF75FD" w:rsidRDefault="00D74F31" w:rsidP="009A28B6">
      <w:pPr>
        <w:numPr>
          <w:ilvl w:val="1"/>
          <w:numId w:val="30"/>
        </w:numPr>
        <w:overflowPunct w:val="0"/>
        <w:autoSpaceDE w:val="0"/>
        <w:autoSpaceDN w:val="0"/>
        <w:adjustRightInd w:val="0"/>
        <w:jc w:val="both"/>
        <w:textAlignment w:val="baseline"/>
        <w:rPr>
          <w:bCs/>
        </w:rPr>
      </w:pPr>
      <w:r>
        <w:rPr>
          <w:bCs/>
        </w:rPr>
        <w:t xml:space="preserve">Initial access, channel access. Scheduling/HARQ, and mobility including connected/inactive/idle mode operation </w:t>
      </w:r>
      <w:r w:rsidRPr="00636E20">
        <w:rPr>
          <w:bCs/>
        </w:rPr>
        <w:t xml:space="preserve">and </w:t>
      </w:r>
      <w:r>
        <w:rPr>
          <w:bCs/>
        </w:rPr>
        <w:t>radio-link monitoring/failure</w:t>
      </w:r>
    </w:p>
    <w:p w14:paraId="73A8F61E" w14:textId="77777777" w:rsidR="00D74F31" w:rsidRPr="00E16BC1" w:rsidRDefault="00D74F31" w:rsidP="009A28B6">
      <w:pPr>
        <w:numPr>
          <w:ilvl w:val="1"/>
          <w:numId w:val="30"/>
        </w:numPr>
        <w:overflowPunct w:val="0"/>
        <w:autoSpaceDE w:val="0"/>
        <w:autoSpaceDN w:val="0"/>
        <w:adjustRightInd w:val="0"/>
        <w:jc w:val="both"/>
        <w:textAlignment w:val="baseline"/>
        <w:rPr>
          <w:bCs/>
        </w:rPr>
      </w:pPr>
      <w:r>
        <w:rPr>
          <w:bCs/>
        </w:rPr>
        <w:t>C</w:t>
      </w:r>
      <w:r w:rsidRPr="009D12AA">
        <w:rPr>
          <w:bCs/>
        </w:rPr>
        <w:t>oexistence</w:t>
      </w:r>
      <w:r w:rsidRPr="008F0CB9">
        <w:rPr>
          <w:bCs/>
        </w:rPr>
        <w:t xml:space="preserve"> methods </w:t>
      </w:r>
      <w:r>
        <w:rPr>
          <w:bCs/>
        </w:rPr>
        <w:t xml:space="preserve">within NR-based and between NR-based operation in unlicensed and </w:t>
      </w:r>
      <w:r w:rsidRPr="008F0CB9">
        <w:rPr>
          <w:bCs/>
        </w:rPr>
        <w:t>LTE</w:t>
      </w:r>
      <w:r>
        <w:rPr>
          <w:bCs/>
        </w:rPr>
        <w:t>-based LAA</w:t>
      </w:r>
      <w:r w:rsidRPr="008F0CB9">
        <w:rPr>
          <w:bCs/>
        </w:rPr>
        <w:t xml:space="preserve"> and </w:t>
      </w:r>
      <w:r>
        <w:rPr>
          <w:bCs/>
        </w:rPr>
        <w:t xml:space="preserve">with </w:t>
      </w:r>
      <w:r w:rsidRPr="008F0CB9">
        <w:rPr>
          <w:bCs/>
        </w:rPr>
        <w:t xml:space="preserve">other </w:t>
      </w:r>
      <w:r>
        <w:rPr>
          <w:bCs/>
        </w:rPr>
        <w:t xml:space="preserve">incumbent </w:t>
      </w:r>
      <w:r w:rsidRPr="008F0CB9">
        <w:rPr>
          <w:bCs/>
        </w:rPr>
        <w:t>RATs</w:t>
      </w:r>
      <w:r w:rsidRPr="00915396">
        <w:rPr>
          <w:bCs/>
        </w:rPr>
        <w:t xml:space="preserve"> in accordance with regulatory requirements </w:t>
      </w:r>
      <w:r>
        <w:rPr>
          <w:bCs/>
        </w:rPr>
        <w:t xml:space="preserve">in </w:t>
      </w:r>
      <w:r w:rsidRPr="00915396">
        <w:rPr>
          <w:bCs/>
        </w:rPr>
        <w:t>e.g., 5GHz</w:t>
      </w:r>
      <w:r>
        <w:rPr>
          <w:bCs/>
        </w:rPr>
        <w:t xml:space="preserve"> , 37GHz, 60GHz</w:t>
      </w:r>
      <w:r w:rsidRPr="00915396">
        <w:rPr>
          <w:bCs/>
        </w:rPr>
        <w:t xml:space="preserve"> bands </w:t>
      </w:r>
    </w:p>
    <w:p w14:paraId="33F6E292" w14:textId="77777777" w:rsidR="00D74F31" w:rsidRDefault="00D74F31" w:rsidP="009A28B6">
      <w:pPr>
        <w:numPr>
          <w:ilvl w:val="2"/>
          <w:numId w:val="30"/>
        </w:numPr>
        <w:overflowPunct w:val="0"/>
        <w:autoSpaceDE w:val="0"/>
        <w:autoSpaceDN w:val="0"/>
        <w:adjustRightInd w:val="0"/>
        <w:jc w:val="both"/>
        <w:textAlignment w:val="baseline"/>
        <w:rPr>
          <w:bCs/>
        </w:rPr>
      </w:pPr>
      <w:r>
        <w:rPr>
          <w:bC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4C0625C1" w14:textId="77777777" w:rsidR="00D0190A" w:rsidRDefault="00D0190A" w:rsidP="009A28B6">
      <w:pPr>
        <w:jc w:val="both"/>
        <w:rPr>
          <w:sz w:val="20"/>
          <w:szCs w:val="20"/>
        </w:rPr>
      </w:pPr>
    </w:p>
    <w:p w14:paraId="0F4CD6E6" w14:textId="4DB239E5" w:rsidR="00A5758E" w:rsidRDefault="009A28B6" w:rsidP="009A28B6">
      <w:pPr>
        <w:jc w:val="both"/>
      </w:pPr>
      <w:r>
        <w:t>In this contribution, we briefly discuss</w:t>
      </w:r>
      <w:r w:rsidR="00D725CD">
        <w:t xml:space="preserve"> some potential enhancements for NRU coexistence. In a companion contribution</w:t>
      </w:r>
      <w:r w:rsidR="00C722B1">
        <w:t xml:space="preserve"> </w:t>
      </w:r>
      <w:r w:rsidR="00C722B1">
        <w:fldChar w:fldCharType="begin"/>
      </w:r>
      <w:r w:rsidR="00C722B1">
        <w:instrText xml:space="preserve"> REF _Ref510794934 \n \h </w:instrText>
      </w:r>
      <w:r w:rsidR="00C722B1">
        <w:fldChar w:fldCharType="separate"/>
      </w:r>
      <w:r w:rsidR="00C722B1">
        <w:t>[4]</w:t>
      </w:r>
      <w:r w:rsidR="00C722B1">
        <w:fldChar w:fldCharType="end"/>
      </w:r>
      <w:r w:rsidR="00D725CD">
        <w:t>, we also discuss</w:t>
      </w:r>
      <w:r>
        <w:t xml:space="preserve"> how </w:t>
      </w:r>
      <w:r w:rsidR="00723279">
        <w:t xml:space="preserve">new </w:t>
      </w:r>
      <w:r>
        <w:t xml:space="preserve">NR </w:t>
      </w:r>
      <w:r w:rsidR="00D725CD">
        <w:t xml:space="preserve">channel and frame structure </w:t>
      </w:r>
      <w:r>
        <w:t>design</w:t>
      </w:r>
      <w:r w:rsidR="00723279">
        <w:t>s</w:t>
      </w:r>
      <w:r>
        <w:t xml:space="preserve"> can benefit the NR-based unlicensed access, a</w:t>
      </w:r>
      <w:r w:rsidR="00723279">
        <w:t>s well as potential further enhancements</w:t>
      </w:r>
      <w:r w:rsidR="00D725CD">
        <w:t xml:space="preserve"> to physical channel designs including PRACH and Sync channels</w:t>
      </w:r>
      <w:r>
        <w:t>.</w:t>
      </w:r>
    </w:p>
    <w:p w14:paraId="2240F142" w14:textId="77777777" w:rsidR="0056182D" w:rsidRDefault="0056182D" w:rsidP="009A28B6">
      <w:pPr>
        <w:jc w:val="both"/>
      </w:pPr>
    </w:p>
    <w:p w14:paraId="2222628D" w14:textId="04220099" w:rsidR="0056182D" w:rsidRDefault="0056182D" w:rsidP="0056182D">
      <w:pPr>
        <w:pStyle w:val="Heading1"/>
      </w:pPr>
      <w:bookmarkStart w:id="0" w:name="_Ref510795623"/>
      <w:r>
        <w:lastRenderedPageBreak/>
        <w:t>Enhanced LBT with priority and interference awareness</w:t>
      </w:r>
      <w:bookmarkEnd w:id="0"/>
    </w:p>
    <w:p w14:paraId="6EB1BD02" w14:textId="77777777" w:rsidR="0056182D" w:rsidRDefault="0056182D" w:rsidP="0056182D">
      <w:pPr>
        <w:jc w:val="both"/>
      </w:pPr>
      <w:r>
        <w:t xml:space="preserve">A key design requirement for LTE or NR based unlicensed access is to coexist with other unlicensed based operations and incumbent RATs as a “friendly neighbor”, e.g. it should not impact other deployed Wi-Fi services more than an additional Wi-Fi network on the same carrier. </w:t>
      </w:r>
    </w:p>
    <w:p w14:paraId="33ACDF3A" w14:textId="77777777" w:rsidR="0056182D" w:rsidRDefault="0056182D" w:rsidP="0056182D">
      <w:pPr>
        <w:jc w:val="both"/>
      </w:pPr>
    </w:p>
    <w:p w14:paraId="2CCDD003" w14:textId="1DD139B1" w:rsidR="0056182D" w:rsidRDefault="0056182D" w:rsidP="0056182D">
      <w:r>
        <w:t xml:space="preserve">In LAA, the coexistence is enabled through energy-based listen-before-talk (LBT) similar as in Wi-Fi, which is also required by regulation in various markets such as Europe, Japan, and India </w:t>
      </w:r>
      <w:r>
        <w:fldChar w:fldCharType="begin"/>
      </w:r>
      <w:r>
        <w:instrText xml:space="preserve"> REF _Ref506468726 \r \h </w:instrText>
      </w:r>
      <w:r>
        <w:fldChar w:fldCharType="separate"/>
      </w:r>
      <w:r>
        <w:t>[2]</w:t>
      </w:r>
      <w:r>
        <w:fldChar w:fldCharType="end"/>
      </w:r>
      <w:r>
        <w:fldChar w:fldCharType="begin"/>
      </w:r>
      <w:r>
        <w:instrText xml:space="preserve"> REF _Ref506468732 \r \h </w:instrText>
      </w:r>
      <w:r>
        <w:fldChar w:fldCharType="separate"/>
      </w:r>
      <w:r>
        <w:t>[3]</w:t>
      </w:r>
      <w:r>
        <w:fldChar w:fldCharType="end"/>
      </w:r>
      <w:r>
        <w:t>. LBT is an effective coexistence mechanism that, together with appropriate back-off configuration, allows different devices and RATs to share the usage of the spectrum in TDM fashion</w:t>
      </w:r>
      <w:r>
        <w:t>.</w:t>
      </w:r>
    </w:p>
    <w:p w14:paraId="24412B99" w14:textId="77777777" w:rsidR="0056182D" w:rsidRDefault="0056182D" w:rsidP="0056182D"/>
    <w:p w14:paraId="6D45ABF1" w14:textId="0A4BB607" w:rsidR="0056182D" w:rsidRDefault="0056182D" w:rsidP="0056182D">
      <w:r>
        <w:t>Existing LAA already supports different LBT priority classes based on service type</w:t>
      </w:r>
      <w:r w:rsidR="00774895">
        <w:t>, which matches well with the different Wi-Fi access classes</w:t>
      </w:r>
      <w:r>
        <w:t>, as shown</w:t>
      </w:r>
      <w:r w:rsidR="00152DBF">
        <w:t xml:space="preserve"> in </w:t>
      </w:r>
      <w:r w:rsidR="00774895">
        <w:fldChar w:fldCharType="begin"/>
      </w:r>
      <w:r w:rsidR="00774895">
        <w:instrText xml:space="preserve"> REF _Ref510796146 \h </w:instrText>
      </w:r>
      <w:r w:rsidR="00774895">
        <w:fldChar w:fldCharType="separate"/>
      </w:r>
      <w:r w:rsidR="00774895">
        <w:t xml:space="preserve">Table </w:t>
      </w:r>
      <w:r w:rsidR="00774895">
        <w:rPr>
          <w:noProof/>
        </w:rPr>
        <w:t>2</w:t>
      </w:r>
      <w:r w:rsidR="00774895">
        <w:noBreakHyphen/>
      </w:r>
      <w:r w:rsidR="00774895">
        <w:rPr>
          <w:noProof/>
        </w:rPr>
        <w:t>1</w:t>
      </w:r>
      <w:r w:rsidR="00774895">
        <w:fldChar w:fldCharType="end"/>
      </w:r>
    </w:p>
    <w:p w14:paraId="227383D3" w14:textId="77777777" w:rsidR="0056182D" w:rsidRDefault="0056182D" w:rsidP="0056182D"/>
    <w:p w14:paraId="5FDCD835" w14:textId="4838FDFC" w:rsidR="00152DBF" w:rsidRDefault="00152DBF" w:rsidP="00152DBF">
      <w:pPr>
        <w:pStyle w:val="Caption"/>
      </w:pPr>
      <w:bookmarkStart w:id="1" w:name="_Ref510796146"/>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1</w:t>
      </w:r>
      <w:r>
        <w:fldChar w:fldCharType="end"/>
      </w:r>
      <w:bookmarkEnd w:id="1"/>
      <w:r w:rsidR="00774895">
        <w:t xml:space="preserve"> LBT with different priority classes</w:t>
      </w:r>
    </w:p>
    <w:tbl>
      <w:tblPr>
        <w:tblStyle w:val="TableGrid"/>
        <w:tblW w:w="0" w:type="auto"/>
        <w:tblLook w:val="04A0" w:firstRow="1" w:lastRow="0" w:firstColumn="1" w:lastColumn="0" w:noHBand="0" w:noVBand="1"/>
      </w:tblPr>
      <w:tblGrid>
        <w:gridCol w:w="950"/>
        <w:gridCol w:w="3287"/>
        <w:gridCol w:w="1436"/>
        <w:gridCol w:w="2856"/>
        <w:gridCol w:w="910"/>
      </w:tblGrid>
      <w:tr w:rsidR="0056182D" w14:paraId="7332B8CA" w14:textId="77777777" w:rsidTr="0056182D">
        <w:tc>
          <w:tcPr>
            <w:tcW w:w="805" w:type="dxa"/>
          </w:tcPr>
          <w:p w14:paraId="142AFB2D" w14:textId="45A33D4D" w:rsidR="0056182D" w:rsidRDefault="0056182D" w:rsidP="0056182D">
            <w:r>
              <w:t>Priority class</w:t>
            </w:r>
          </w:p>
        </w:tc>
        <w:tc>
          <w:tcPr>
            <w:tcW w:w="3287" w:type="dxa"/>
          </w:tcPr>
          <w:p w14:paraId="4FF29FC6" w14:textId="66CF18D1" w:rsidR="0056182D" w:rsidRDefault="0056182D" w:rsidP="0056182D">
            <w:r>
              <w:t>Service type</w:t>
            </w:r>
          </w:p>
        </w:tc>
        <w:tc>
          <w:tcPr>
            <w:tcW w:w="0" w:type="auto"/>
          </w:tcPr>
          <w:p w14:paraId="327C968C" w14:textId="77777777" w:rsidR="0056182D" w:rsidRDefault="0056182D" w:rsidP="0056182D">
            <w:r>
              <w:t xml:space="preserve">Defer period </w:t>
            </w:r>
          </w:p>
          <w:p w14:paraId="29E85223" w14:textId="70A84E80" w:rsidR="0056182D" w:rsidRDefault="0056182D" w:rsidP="0056182D">
            <w:r>
              <w:t>[us]</w:t>
            </w:r>
          </w:p>
        </w:tc>
        <w:tc>
          <w:tcPr>
            <w:tcW w:w="0" w:type="auto"/>
          </w:tcPr>
          <w:p w14:paraId="53A326D2" w14:textId="77777777" w:rsidR="0056182D" w:rsidRDefault="0056182D" w:rsidP="0056182D">
            <w:r>
              <w:t>CW values</w:t>
            </w:r>
          </w:p>
          <w:p w14:paraId="50A3CF12" w14:textId="7DD1CE7E" w:rsidR="00152DBF" w:rsidRDefault="00152DBF" w:rsidP="0056182D">
            <w:r>
              <w:t>x [9us]</w:t>
            </w:r>
          </w:p>
        </w:tc>
        <w:tc>
          <w:tcPr>
            <w:tcW w:w="0" w:type="auto"/>
          </w:tcPr>
          <w:p w14:paraId="31F7F8E5" w14:textId="77777777" w:rsidR="0056182D" w:rsidRDefault="0056182D" w:rsidP="0056182D">
            <w:r>
              <w:t xml:space="preserve">MCOT </w:t>
            </w:r>
          </w:p>
          <w:p w14:paraId="374BD4E2" w14:textId="11144369" w:rsidR="0056182D" w:rsidRDefault="0056182D" w:rsidP="0056182D">
            <w:r>
              <w:t>[ms]</w:t>
            </w:r>
          </w:p>
        </w:tc>
      </w:tr>
      <w:tr w:rsidR="0056182D" w14:paraId="2694FC80" w14:textId="77777777" w:rsidTr="0056182D">
        <w:tc>
          <w:tcPr>
            <w:tcW w:w="805" w:type="dxa"/>
          </w:tcPr>
          <w:p w14:paraId="7BE823A7" w14:textId="419852C5" w:rsidR="0056182D" w:rsidRDefault="0056182D" w:rsidP="0056182D">
            <w:r>
              <w:t>1</w:t>
            </w:r>
          </w:p>
        </w:tc>
        <w:tc>
          <w:tcPr>
            <w:tcW w:w="3287" w:type="dxa"/>
          </w:tcPr>
          <w:p w14:paraId="13ACAAB1" w14:textId="15442D95" w:rsidR="0056182D" w:rsidRDefault="0056182D" w:rsidP="0056182D">
            <w:r>
              <w:t xml:space="preserve">Signaling, voice, </w:t>
            </w:r>
            <w:r w:rsidR="00152DBF">
              <w:t xml:space="preserve">real time </w:t>
            </w:r>
            <w:r>
              <w:t>gaming</w:t>
            </w:r>
          </w:p>
        </w:tc>
        <w:tc>
          <w:tcPr>
            <w:tcW w:w="0" w:type="auto"/>
          </w:tcPr>
          <w:p w14:paraId="621D06DD" w14:textId="2018FD99" w:rsidR="0056182D" w:rsidRDefault="00152DBF" w:rsidP="0056182D">
            <w:r>
              <w:t>25</w:t>
            </w:r>
          </w:p>
        </w:tc>
        <w:tc>
          <w:tcPr>
            <w:tcW w:w="0" w:type="auto"/>
          </w:tcPr>
          <w:p w14:paraId="0E9D3FD4" w14:textId="5FA4E2F1" w:rsidR="0056182D" w:rsidRDefault="00152DBF" w:rsidP="0056182D">
            <w:r>
              <w:t>3,7</w:t>
            </w:r>
          </w:p>
        </w:tc>
        <w:tc>
          <w:tcPr>
            <w:tcW w:w="0" w:type="auto"/>
          </w:tcPr>
          <w:p w14:paraId="41A65EF0" w14:textId="73956A91" w:rsidR="0056182D" w:rsidRDefault="00152DBF" w:rsidP="0056182D">
            <w:r>
              <w:t>2</w:t>
            </w:r>
          </w:p>
        </w:tc>
      </w:tr>
      <w:tr w:rsidR="0056182D" w14:paraId="6AE90D18" w14:textId="77777777" w:rsidTr="0056182D">
        <w:tc>
          <w:tcPr>
            <w:tcW w:w="805" w:type="dxa"/>
          </w:tcPr>
          <w:p w14:paraId="3CA76FC6" w14:textId="0BAC376C" w:rsidR="0056182D" w:rsidRDefault="0056182D" w:rsidP="0056182D">
            <w:r>
              <w:t>2</w:t>
            </w:r>
          </w:p>
        </w:tc>
        <w:tc>
          <w:tcPr>
            <w:tcW w:w="3287" w:type="dxa"/>
          </w:tcPr>
          <w:p w14:paraId="7E77DE63" w14:textId="20E5D238" w:rsidR="0056182D" w:rsidRDefault="0056182D" w:rsidP="0056182D">
            <w:r>
              <w:t>Streaming, gaming</w:t>
            </w:r>
          </w:p>
        </w:tc>
        <w:tc>
          <w:tcPr>
            <w:tcW w:w="0" w:type="auto"/>
          </w:tcPr>
          <w:p w14:paraId="579B658A" w14:textId="79C58EED" w:rsidR="0056182D" w:rsidRDefault="00152DBF" w:rsidP="0056182D">
            <w:r>
              <w:t>25</w:t>
            </w:r>
          </w:p>
        </w:tc>
        <w:tc>
          <w:tcPr>
            <w:tcW w:w="0" w:type="auto"/>
          </w:tcPr>
          <w:p w14:paraId="7F93366C" w14:textId="74EBA278" w:rsidR="0056182D" w:rsidRDefault="00152DBF" w:rsidP="0056182D">
            <w:r>
              <w:t>7,15</w:t>
            </w:r>
          </w:p>
        </w:tc>
        <w:tc>
          <w:tcPr>
            <w:tcW w:w="0" w:type="auto"/>
          </w:tcPr>
          <w:p w14:paraId="4D9BBE87" w14:textId="46263AC8" w:rsidR="0056182D" w:rsidRDefault="00152DBF" w:rsidP="0056182D">
            <w:r>
              <w:t>3</w:t>
            </w:r>
          </w:p>
        </w:tc>
      </w:tr>
      <w:tr w:rsidR="0056182D" w14:paraId="2832BA82" w14:textId="77777777" w:rsidTr="0056182D">
        <w:tc>
          <w:tcPr>
            <w:tcW w:w="805" w:type="dxa"/>
          </w:tcPr>
          <w:p w14:paraId="09A83993" w14:textId="68D6D444" w:rsidR="0056182D" w:rsidRDefault="0056182D" w:rsidP="0056182D">
            <w:r>
              <w:t>3</w:t>
            </w:r>
          </w:p>
        </w:tc>
        <w:tc>
          <w:tcPr>
            <w:tcW w:w="3287" w:type="dxa"/>
          </w:tcPr>
          <w:p w14:paraId="15B56697" w14:textId="7A7185BB" w:rsidR="0056182D" w:rsidRDefault="0056182D" w:rsidP="0056182D">
            <w:r>
              <w:t>Best efforts data</w:t>
            </w:r>
          </w:p>
        </w:tc>
        <w:tc>
          <w:tcPr>
            <w:tcW w:w="0" w:type="auto"/>
          </w:tcPr>
          <w:p w14:paraId="6B2D6C72" w14:textId="2B090AB7" w:rsidR="0056182D" w:rsidRDefault="00152DBF" w:rsidP="0056182D">
            <w:r>
              <w:t>43</w:t>
            </w:r>
          </w:p>
        </w:tc>
        <w:tc>
          <w:tcPr>
            <w:tcW w:w="0" w:type="auto"/>
          </w:tcPr>
          <w:p w14:paraId="48A63717" w14:textId="0EC4C89D" w:rsidR="0056182D" w:rsidRDefault="00152DBF" w:rsidP="0056182D">
            <w:r>
              <w:t>15,31,63</w:t>
            </w:r>
          </w:p>
        </w:tc>
        <w:tc>
          <w:tcPr>
            <w:tcW w:w="0" w:type="auto"/>
          </w:tcPr>
          <w:p w14:paraId="2B9C59EE" w14:textId="43A9D91B" w:rsidR="0056182D" w:rsidRDefault="00152DBF" w:rsidP="0056182D">
            <w:r>
              <w:t>8 or 10</w:t>
            </w:r>
          </w:p>
        </w:tc>
      </w:tr>
      <w:tr w:rsidR="0056182D" w14:paraId="10095149" w14:textId="77777777" w:rsidTr="0056182D">
        <w:tc>
          <w:tcPr>
            <w:tcW w:w="805" w:type="dxa"/>
          </w:tcPr>
          <w:p w14:paraId="3D29C5CC" w14:textId="149A3116" w:rsidR="0056182D" w:rsidRDefault="0056182D" w:rsidP="0056182D">
            <w:r>
              <w:t>4</w:t>
            </w:r>
          </w:p>
        </w:tc>
        <w:tc>
          <w:tcPr>
            <w:tcW w:w="3287" w:type="dxa"/>
          </w:tcPr>
          <w:p w14:paraId="06960246" w14:textId="2187BC19" w:rsidR="0056182D" w:rsidRDefault="0056182D" w:rsidP="0056182D">
            <w:r>
              <w:t>Background traffic</w:t>
            </w:r>
          </w:p>
        </w:tc>
        <w:tc>
          <w:tcPr>
            <w:tcW w:w="0" w:type="auto"/>
          </w:tcPr>
          <w:p w14:paraId="43E1DEC4" w14:textId="14ECE89F" w:rsidR="0056182D" w:rsidRDefault="00152DBF" w:rsidP="0056182D">
            <w:r>
              <w:t>79</w:t>
            </w:r>
          </w:p>
        </w:tc>
        <w:tc>
          <w:tcPr>
            <w:tcW w:w="0" w:type="auto"/>
          </w:tcPr>
          <w:p w14:paraId="4B2BECE7" w14:textId="2E50DB9E" w:rsidR="0056182D" w:rsidRDefault="00152DBF" w:rsidP="0056182D">
            <w:r>
              <w:t>15,31,63,127,255,511,1023</w:t>
            </w:r>
          </w:p>
        </w:tc>
        <w:tc>
          <w:tcPr>
            <w:tcW w:w="0" w:type="auto"/>
          </w:tcPr>
          <w:p w14:paraId="6F2C42BD" w14:textId="65FAC177" w:rsidR="0056182D" w:rsidRDefault="00152DBF" w:rsidP="0056182D">
            <w:r>
              <w:t>8 or 10</w:t>
            </w:r>
          </w:p>
        </w:tc>
      </w:tr>
    </w:tbl>
    <w:p w14:paraId="3D1115B6" w14:textId="24E23590" w:rsidR="0056182D" w:rsidRDefault="0056182D" w:rsidP="0056182D">
      <w:r>
        <w:t xml:space="preserve"> </w:t>
      </w:r>
    </w:p>
    <w:p w14:paraId="2F6338A0" w14:textId="43DB922F" w:rsidR="000A4393" w:rsidRDefault="000A4393" w:rsidP="000D27CD">
      <w:pPr>
        <w:jc w:val="both"/>
      </w:pPr>
      <w:r>
        <w:t xml:space="preserve">In addition to the service type, LBT priorities </w:t>
      </w:r>
      <w:r w:rsidR="000D27CD">
        <w:t xml:space="preserve">and configurations may also take some other factors into account, in order to improve the reuse of resources while still keep the overall interference under check. For example, a time critical service that only occupy a short transmission duration may have a higher priority class, e.g., with smaller CW or higher LBT threshold. </w:t>
      </w:r>
    </w:p>
    <w:p w14:paraId="5E60E69D" w14:textId="77777777" w:rsidR="000D27CD" w:rsidRDefault="000D27CD" w:rsidP="000D27CD">
      <w:pPr>
        <w:jc w:val="both"/>
      </w:pPr>
    </w:p>
    <w:p w14:paraId="467BFFCF" w14:textId="278A5D16" w:rsidR="000D27CD" w:rsidRDefault="000D27CD" w:rsidP="000D27CD">
      <w:pPr>
        <w:jc w:val="both"/>
      </w:pPr>
      <w:r>
        <w:t xml:space="preserve">As another example, there could be two devices physically very close to </w:t>
      </w:r>
      <w:r w:rsidR="005D1B85">
        <w:t>each other and</w:t>
      </w:r>
      <w:r>
        <w:t xml:space="preserve"> </w:t>
      </w:r>
      <w:r w:rsidR="005D1B85">
        <w:t xml:space="preserve">are connected with </w:t>
      </w:r>
      <w:r>
        <w:t xml:space="preserve">low latency </w:t>
      </w:r>
      <w:r w:rsidR="005D1B85">
        <w:t xml:space="preserve">services. The transmitting power of the devices could be kept very low through proper power control in order to maximize battery life. </w:t>
      </w:r>
      <w:r w:rsidR="002D0050">
        <w:t>Such</w:t>
      </w:r>
      <w:bookmarkStart w:id="2" w:name="_GoBack"/>
      <w:bookmarkEnd w:id="2"/>
      <w:r w:rsidR="005D1B85">
        <w:t xml:space="preserve"> devices could potentially be configured with higher LBT priority (e.g. smaller CW or higher LBT threshold), as the interference to the neighboring area is expected to be small.</w:t>
      </w:r>
    </w:p>
    <w:p w14:paraId="33970E05" w14:textId="77777777" w:rsidR="005D1B85" w:rsidRDefault="005D1B85" w:rsidP="000D27CD">
      <w:pPr>
        <w:jc w:val="both"/>
      </w:pPr>
    </w:p>
    <w:p w14:paraId="4501A4A4" w14:textId="0BFC780B" w:rsidR="005D1B85" w:rsidRDefault="005D1B85" w:rsidP="000D27CD">
      <w:pPr>
        <w:jc w:val="both"/>
      </w:pPr>
      <w:r>
        <w:t>Similarly, for connections that only occupy channel for a very short time (or COT) but requiring low latency</w:t>
      </w:r>
      <w:r w:rsidR="00DC2B6F">
        <w:t>, e.g., L1 control signaling</w:t>
      </w:r>
      <w:r>
        <w:t>, as the total interference to the other devices will be kept small, a higher LBT priority is also reasonable.</w:t>
      </w:r>
    </w:p>
    <w:p w14:paraId="25571320" w14:textId="77777777" w:rsidR="00DC2B6F" w:rsidRDefault="00DC2B6F" w:rsidP="000D27CD">
      <w:pPr>
        <w:jc w:val="both"/>
      </w:pPr>
    </w:p>
    <w:p w14:paraId="18856AD3" w14:textId="69E92636" w:rsidR="00DC2B6F" w:rsidRPr="00DC2B6F" w:rsidRDefault="00DC2B6F" w:rsidP="000D27CD">
      <w:pPr>
        <w:jc w:val="both"/>
        <w:rPr>
          <w:b/>
          <w:i/>
        </w:rPr>
      </w:pPr>
      <w:r w:rsidRPr="00DC2B6F">
        <w:rPr>
          <w:b/>
          <w:i/>
          <w:u w:val="single"/>
        </w:rPr>
        <w:t>Proposal 1</w:t>
      </w:r>
      <w:r w:rsidRPr="00DC2B6F">
        <w:rPr>
          <w:b/>
          <w:i/>
        </w:rPr>
        <w:t xml:space="preserve">: NRU supports different LBT priorities based on multiple factors, including service type, requested COT, and transmitted power. </w:t>
      </w:r>
    </w:p>
    <w:p w14:paraId="391D81F2" w14:textId="215CC9F4" w:rsidR="00C9318D" w:rsidRDefault="00B02A2D" w:rsidP="00B02A2D">
      <w:pPr>
        <w:pStyle w:val="Heading1"/>
      </w:pPr>
      <w:bookmarkStart w:id="3" w:name="_Ref506573700"/>
      <w:r>
        <w:t>RTS/CTS</w:t>
      </w:r>
      <w:r w:rsidR="00280848">
        <w:t xml:space="preserve"> as complement to LBT</w:t>
      </w:r>
      <w:bookmarkEnd w:id="3"/>
    </w:p>
    <w:p w14:paraId="57A1F7BE" w14:textId="045B4920" w:rsidR="00C275A9" w:rsidRDefault="0056182D" w:rsidP="00C275A9">
      <w:pPr>
        <w:jc w:val="both"/>
      </w:pPr>
      <w:r>
        <w:t xml:space="preserve">As discussed in section </w:t>
      </w:r>
      <w:r>
        <w:fldChar w:fldCharType="begin"/>
      </w:r>
      <w:r>
        <w:instrText xml:space="preserve"> REF _Ref510795623 \n \h </w:instrText>
      </w:r>
      <w:r>
        <w:fldChar w:fldCharType="separate"/>
      </w:r>
      <w:r>
        <w:t>2</w:t>
      </w:r>
      <w:r>
        <w:fldChar w:fldCharType="end"/>
      </w:r>
      <w:r>
        <w:t xml:space="preserve">, </w:t>
      </w:r>
      <w:r w:rsidR="006C5678">
        <w:t>LBT is an effective coexistence mechanism that</w:t>
      </w:r>
      <w:r w:rsidR="00280848">
        <w:t>, together with appropriate back-off configuration,</w:t>
      </w:r>
      <w:r w:rsidR="006C5678">
        <w:t xml:space="preserve"> allows diffe</w:t>
      </w:r>
      <w:r w:rsidR="00280848">
        <w:t>rent devices and RATs to share</w:t>
      </w:r>
      <w:r w:rsidR="006C5678">
        <w:t xml:space="preserve"> the usage of the spectrum in TDM fashion. </w:t>
      </w:r>
      <w:r w:rsidR="00C275A9">
        <w:t xml:space="preserve"> </w:t>
      </w:r>
    </w:p>
    <w:p w14:paraId="21EABB23" w14:textId="77777777" w:rsidR="006C5678" w:rsidRDefault="006C5678" w:rsidP="00C275A9">
      <w:pPr>
        <w:jc w:val="both"/>
      </w:pPr>
    </w:p>
    <w:p w14:paraId="58DC173E" w14:textId="42422123" w:rsidR="00280848" w:rsidRDefault="006C5678" w:rsidP="00C275A9">
      <w:pPr>
        <w:jc w:val="both"/>
      </w:pPr>
      <w:r>
        <w:t xml:space="preserve">However, </w:t>
      </w:r>
      <w:r w:rsidR="0072063D">
        <w:t>there is also certain limitations associated with LBT</w:t>
      </w:r>
      <w:r w:rsidR="00280848">
        <w:t xml:space="preserve">, specifically </w:t>
      </w:r>
      <w:r w:rsidR="00AF32DD">
        <w:t>in</w:t>
      </w:r>
      <w:r w:rsidR="00280848">
        <w:t xml:space="preserve"> the following scenarios:</w:t>
      </w:r>
    </w:p>
    <w:p w14:paraId="4519F9EB" w14:textId="45007C7E" w:rsidR="006C5678" w:rsidRDefault="00D26DBF" w:rsidP="00280848">
      <w:pPr>
        <w:pStyle w:val="ListParagraph"/>
        <w:numPr>
          <w:ilvl w:val="0"/>
          <w:numId w:val="28"/>
        </w:numPr>
        <w:jc w:val="both"/>
      </w:pPr>
      <w:r>
        <w:lastRenderedPageBreak/>
        <w:t>H</w:t>
      </w:r>
      <w:r w:rsidR="00280848">
        <w:t>idden</w:t>
      </w:r>
      <w:r>
        <w:t xml:space="preserve"> nodes: where transmitter </w:t>
      </w:r>
      <w:r w:rsidR="00C13CF5">
        <w:t>does not detect the same level of channel occupancy as the receiver</w:t>
      </w:r>
    </w:p>
    <w:p w14:paraId="678EEA84" w14:textId="77777777" w:rsidR="002A1002" w:rsidRDefault="00C13CF5" w:rsidP="00280848">
      <w:pPr>
        <w:pStyle w:val="ListParagraph"/>
        <w:numPr>
          <w:ilvl w:val="0"/>
          <w:numId w:val="28"/>
        </w:numPr>
        <w:jc w:val="both"/>
      </w:pPr>
      <w:r>
        <w:t>Highly directional communication: where</w:t>
      </w:r>
      <w:r w:rsidR="002A1002">
        <w:t xml:space="preserve"> substantial spectrum reuse can be achieved when Tx and Rx beamforming are used.</w:t>
      </w:r>
    </w:p>
    <w:p w14:paraId="5CD67B7E" w14:textId="77777777" w:rsidR="002A1002" w:rsidRDefault="002A1002" w:rsidP="002A1002">
      <w:pPr>
        <w:jc w:val="both"/>
      </w:pPr>
    </w:p>
    <w:p w14:paraId="6F17CA76" w14:textId="2FB89A35" w:rsidR="00472FAC" w:rsidRDefault="002A1002" w:rsidP="002A1002">
      <w:pPr>
        <w:jc w:val="both"/>
      </w:pPr>
      <w:r>
        <w:t>The “hidden nodes” issue is well known for CSMA type of multi-access for unlicensed spectrum, even for sub-6GHz spectrum</w:t>
      </w:r>
      <w:r w:rsidR="00472FAC">
        <w:t xml:space="preserve"> where transmission/reception are less directional. As illustrated in </w:t>
      </w:r>
      <w:r w:rsidR="00472FAC">
        <w:fldChar w:fldCharType="begin"/>
      </w:r>
      <w:r w:rsidR="00472FAC">
        <w:instrText xml:space="preserve"> REF _Ref506475309 \h </w:instrText>
      </w:r>
      <w:r w:rsidR="00472FAC">
        <w:fldChar w:fldCharType="separate"/>
      </w:r>
      <w:r w:rsidR="00FE3D51">
        <w:t xml:space="preserve">Figure </w:t>
      </w:r>
      <w:r w:rsidR="00FE3D51">
        <w:rPr>
          <w:noProof/>
        </w:rPr>
        <w:t>3</w:t>
      </w:r>
      <w:r w:rsidR="00FE3D51">
        <w:noBreakHyphen/>
      </w:r>
      <w:r w:rsidR="00FE3D51">
        <w:rPr>
          <w:noProof/>
        </w:rPr>
        <w:t>1</w:t>
      </w:r>
      <w:r w:rsidR="00472FAC">
        <w:fldChar w:fldCharType="end"/>
      </w:r>
      <w:r w:rsidR="001875B6">
        <w:t>, when gNB</w:t>
      </w:r>
      <w:r w:rsidR="00472FAC">
        <w:t xml:space="preserve"> performs LBT before reaching the UE</w:t>
      </w:r>
      <w:r w:rsidR="00196D77">
        <w:t>1</w:t>
      </w:r>
      <w:r w:rsidR="00472FAC">
        <w:t>, it may no</w:t>
      </w:r>
      <w:r w:rsidR="00AF32DD">
        <w:t>t detect the transmission from another Wi-Fi AP, which is close enough to UE1 but far from the gNB</w:t>
      </w:r>
      <w:r w:rsidR="001875B6">
        <w:t xml:space="preserve">. </w:t>
      </w:r>
      <w:r w:rsidR="00196D77">
        <w:t>Therefore</w:t>
      </w:r>
      <w:r w:rsidR="001875B6">
        <w:t xml:space="preserve">, the </w:t>
      </w:r>
      <w:r w:rsidR="00196D77">
        <w:t>transmission from gNB to the UE1 can potentially be jammed by the transmission from AP.</w:t>
      </w:r>
    </w:p>
    <w:p w14:paraId="07C8FF8D" w14:textId="50AB1FBA" w:rsidR="00C13CF5" w:rsidRDefault="00196D77" w:rsidP="00472FAC">
      <w:pPr>
        <w:jc w:val="center"/>
      </w:pPr>
      <w:r w:rsidRPr="00196D77">
        <w:rPr>
          <w:noProof/>
        </w:rPr>
        <w:drawing>
          <wp:inline distT="0" distB="0" distL="0" distR="0" wp14:anchorId="4FED1223" wp14:editId="54DDB450">
            <wp:extent cx="3479800"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79800" cy="1028700"/>
                    </a:xfrm>
                    <a:prstGeom prst="rect">
                      <a:avLst/>
                    </a:prstGeom>
                  </pic:spPr>
                </pic:pic>
              </a:graphicData>
            </a:graphic>
          </wp:inline>
        </w:drawing>
      </w:r>
    </w:p>
    <w:p w14:paraId="0294D41D" w14:textId="2CEB6AC8" w:rsidR="00472FAC" w:rsidRDefault="00472FAC" w:rsidP="00472FAC">
      <w:pPr>
        <w:pStyle w:val="Caption"/>
      </w:pPr>
      <w:bookmarkStart w:id="4" w:name="_Ref506475309"/>
      <w:r>
        <w:t xml:space="preserve">Figure </w:t>
      </w:r>
      <w:r w:rsidR="00BD4997">
        <w:fldChar w:fldCharType="begin"/>
      </w:r>
      <w:r w:rsidR="00BD4997">
        <w:instrText xml:space="preserve"> STYLEREF 1 \s </w:instrText>
      </w:r>
      <w:r w:rsidR="00BD4997">
        <w:fldChar w:fldCharType="separate"/>
      </w:r>
      <w:r w:rsidR="00FE3D51">
        <w:rPr>
          <w:noProof/>
        </w:rPr>
        <w:t>3</w:t>
      </w:r>
      <w:r w:rsidR="00BD4997">
        <w:rPr>
          <w:noProof/>
        </w:rPr>
        <w:fldChar w:fldCharType="end"/>
      </w:r>
      <w:r w:rsidR="00A30B36">
        <w:noBreakHyphen/>
      </w:r>
      <w:r w:rsidR="00BD4997">
        <w:fldChar w:fldCharType="begin"/>
      </w:r>
      <w:r w:rsidR="00BD4997">
        <w:instrText xml:space="preserve"> SEQ Figure \* ARABIC \s 1 </w:instrText>
      </w:r>
      <w:r w:rsidR="00BD4997">
        <w:fldChar w:fldCharType="separate"/>
      </w:r>
      <w:r w:rsidR="00FE3D51">
        <w:rPr>
          <w:noProof/>
        </w:rPr>
        <w:t>1</w:t>
      </w:r>
      <w:r w:rsidR="00BD4997">
        <w:rPr>
          <w:noProof/>
        </w:rPr>
        <w:fldChar w:fldCharType="end"/>
      </w:r>
      <w:bookmarkEnd w:id="4"/>
      <w:r w:rsidR="00677703">
        <w:t xml:space="preserve"> hidden nodes from distant interferer</w:t>
      </w:r>
    </w:p>
    <w:p w14:paraId="6150929B" w14:textId="7863FCAC" w:rsidR="00B02A43" w:rsidRDefault="00196D77" w:rsidP="00FD4EC7">
      <w:pPr>
        <w:jc w:val="both"/>
      </w:pPr>
      <w:r>
        <w:t>With alternative RTS/CTS mechanism, UE1 can inform</w:t>
      </w:r>
      <w:r w:rsidR="00706E18">
        <w:t xml:space="preserve"> the gNB with CTS </w:t>
      </w:r>
      <w:r w:rsidR="00AF32DD">
        <w:t>only when</w:t>
      </w:r>
      <w:r w:rsidR="00706E18">
        <w:t xml:space="preserve"> </w:t>
      </w:r>
      <w:r w:rsidR="00116BA2">
        <w:t xml:space="preserve">the channel is </w:t>
      </w:r>
      <w:r w:rsidR="00AF32DD">
        <w:t xml:space="preserve">not </w:t>
      </w:r>
      <w:r w:rsidR="00116BA2">
        <w:t xml:space="preserve">being occupied or interference </w:t>
      </w:r>
      <w:r w:rsidR="00F50FE8">
        <w:t>seen at the UE side</w:t>
      </w:r>
      <w:r w:rsidR="00AF32DD">
        <w:t xml:space="preserve"> is weak enough</w:t>
      </w:r>
      <w:r w:rsidR="00F50FE8">
        <w:t xml:space="preserve">, as well as “muting” other potential </w:t>
      </w:r>
      <w:r w:rsidR="00AF32DD">
        <w:t xml:space="preserve">close-by </w:t>
      </w:r>
      <w:r w:rsidR="00F50FE8">
        <w:t>interferers.</w:t>
      </w:r>
    </w:p>
    <w:p w14:paraId="27CF59EC" w14:textId="77777777" w:rsidR="00FD4EC7" w:rsidRDefault="00FD4EC7" w:rsidP="00B02A2D"/>
    <w:p w14:paraId="58B9793E" w14:textId="16F8F043" w:rsidR="00FD4EC7" w:rsidRDefault="00FD4EC7" w:rsidP="00FD4EC7">
      <w:pPr>
        <w:jc w:val="both"/>
      </w:pPr>
      <w:r>
        <w:t>Another scenario where LBT does not work effectively</w:t>
      </w:r>
      <w:r w:rsidR="00AF32DD">
        <w:t xml:space="preserve"> (</w:t>
      </w:r>
      <w:r w:rsidR="00834B74">
        <w:t>again</w:t>
      </w:r>
      <w:r w:rsidR="00AF32DD">
        <w:t>,</w:t>
      </w:r>
      <w:r w:rsidR="00834B74">
        <w:t xml:space="preserve"> due to the fact that interference seen at transmitter is not same as that at receiver</w:t>
      </w:r>
      <w:r w:rsidR="00AF32DD">
        <w:t>)</w:t>
      </w:r>
      <w:r>
        <w:t xml:space="preserve"> is when transmission and reception are highly directional through beam-forming, e.g. in mmW communications.</w:t>
      </w:r>
      <w:r w:rsidR="00677703">
        <w:t xml:space="preserve"> </w:t>
      </w:r>
      <w:r w:rsidR="00677703">
        <w:fldChar w:fldCharType="begin"/>
      </w:r>
      <w:r w:rsidR="00677703">
        <w:instrText xml:space="preserve"> REF _Ref506539436 \h </w:instrText>
      </w:r>
      <w:r w:rsidR="00677703">
        <w:fldChar w:fldCharType="separate"/>
      </w:r>
      <w:r w:rsidR="00FE3D51">
        <w:t xml:space="preserve">Figure </w:t>
      </w:r>
      <w:r w:rsidR="00FE3D51">
        <w:rPr>
          <w:noProof/>
        </w:rPr>
        <w:t>3</w:t>
      </w:r>
      <w:r w:rsidR="00FE3D51">
        <w:noBreakHyphen/>
      </w:r>
      <w:r w:rsidR="00FE3D51">
        <w:rPr>
          <w:noProof/>
        </w:rPr>
        <w:t>2</w:t>
      </w:r>
      <w:r w:rsidR="00677703">
        <w:fldChar w:fldCharType="end"/>
      </w:r>
      <w:r w:rsidR="00677703">
        <w:t xml:space="preserve"> illustrates an example: LBT from gNB would not be able to identify the directional transmission from hidden Wi-Fi AP, which is transmitting to UE1. Therefore, the signal </w:t>
      </w:r>
      <w:r w:rsidR="00197A2B">
        <w:t xml:space="preserve">transmitted </w:t>
      </w:r>
      <w:r w:rsidR="00677703">
        <w:t>from gNB to UE2 can be jammed by the Wi-Fi signal. Similarly, the reception at UE1 could also be severely interfered by the gNB’s transmission.</w:t>
      </w:r>
    </w:p>
    <w:p w14:paraId="21551B9C" w14:textId="2CFA4897" w:rsidR="000D13F7" w:rsidRDefault="000D13F7" w:rsidP="000D13F7">
      <w:pPr>
        <w:jc w:val="center"/>
      </w:pPr>
      <w:r w:rsidRPr="000D13F7">
        <w:rPr>
          <w:noProof/>
        </w:rPr>
        <w:drawing>
          <wp:inline distT="0" distB="0" distL="0" distR="0" wp14:anchorId="18BF8B78" wp14:editId="0756406E">
            <wp:extent cx="2260600" cy="1041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60600" cy="1041400"/>
                    </a:xfrm>
                    <a:prstGeom prst="rect">
                      <a:avLst/>
                    </a:prstGeom>
                  </pic:spPr>
                </pic:pic>
              </a:graphicData>
            </a:graphic>
          </wp:inline>
        </w:drawing>
      </w:r>
    </w:p>
    <w:p w14:paraId="12F27A87" w14:textId="7B18D63C" w:rsidR="000D13F7" w:rsidRDefault="000D13F7" w:rsidP="000D13F7">
      <w:pPr>
        <w:pStyle w:val="Caption"/>
      </w:pPr>
      <w:bookmarkStart w:id="5" w:name="_Ref506539436"/>
      <w:r>
        <w:t xml:space="preserve">Figure </w:t>
      </w:r>
      <w:r w:rsidR="00BD4997">
        <w:fldChar w:fldCharType="begin"/>
      </w:r>
      <w:r w:rsidR="00BD4997">
        <w:instrText xml:space="preserve"> STYLEREF 1 \s </w:instrText>
      </w:r>
      <w:r w:rsidR="00BD4997">
        <w:fldChar w:fldCharType="separate"/>
      </w:r>
      <w:r w:rsidR="00FE3D51">
        <w:rPr>
          <w:noProof/>
        </w:rPr>
        <w:t>3</w:t>
      </w:r>
      <w:r w:rsidR="00BD4997">
        <w:rPr>
          <w:noProof/>
        </w:rPr>
        <w:fldChar w:fldCharType="end"/>
      </w:r>
      <w:r w:rsidR="00A30B36">
        <w:noBreakHyphen/>
      </w:r>
      <w:r w:rsidR="00BD4997">
        <w:fldChar w:fldCharType="begin"/>
      </w:r>
      <w:r w:rsidR="00BD4997">
        <w:instrText xml:space="preserve"> SEQ Figure \* ARABIC \s 1 </w:instrText>
      </w:r>
      <w:r w:rsidR="00BD4997">
        <w:fldChar w:fldCharType="separate"/>
      </w:r>
      <w:r w:rsidR="00FE3D51">
        <w:rPr>
          <w:noProof/>
        </w:rPr>
        <w:t>2</w:t>
      </w:r>
      <w:r w:rsidR="00BD4997">
        <w:rPr>
          <w:noProof/>
        </w:rPr>
        <w:fldChar w:fldCharType="end"/>
      </w:r>
      <w:bookmarkEnd w:id="5"/>
      <w:r>
        <w:t xml:space="preserve"> hidden nodes due to directional interference</w:t>
      </w:r>
    </w:p>
    <w:p w14:paraId="71DD77AC" w14:textId="2FFEF004" w:rsidR="00677703" w:rsidRDefault="00677703" w:rsidP="001027AA">
      <w:pPr>
        <w:jc w:val="both"/>
      </w:pPr>
      <w:r>
        <w:t xml:space="preserve">In this case, the CCA can be further enhanced if gNB only sends out a short </w:t>
      </w:r>
      <w:r w:rsidR="001027AA">
        <w:t xml:space="preserve">RTS, which </w:t>
      </w:r>
      <w:r w:rsidR="0045595C">
        <w:t>keep</w:t>
      </w:r>
      <w:r w:rsidR="001027AA">
        <w:t xml:space="preserve"> any potential interference</w:t>
      </w:r>
      <w:r w:rsidR="0045595C">
        <w:t xml:space="preserve"> to minimum</w:t>
      </w:r>
      <w:r w:rsidR="001027AA">
        <w:t>, and let the target UE to confirm with a CTS. This makes sure that the target UE will not be subject to any interferer unseen by the gNB. In addition, the Tx/Rx beam is typically wider at the UE side due to limited antenna configuration, and the “wider” CTS beam could also mute potential interferers which are listening to the direction of the target UE.</w:t>
      </w:r>
    </w:p>
    <w:p w14:paraId="7D522399" w14:textId="77777777" w:rsidR="001027AA" w:rsidRDefault="001027AA" w:rsidP="001027AA">
      <w:pPr>
        <w:jc w:val="both"/>
      </w:pPr>
    </w:p>
    <w:p w14:paraId="2D7A1812" w14:textId="32A505C5" w:rsidR="001027AA" w:rsidRPr="001027AA" w:rsidRDefault="001027AA" w:rsidP="001027AA">
      <w:pPr>
        <w:jc w:val="both"/>
        <w:rPr>
          <w:b/>
          <w:i/>
        </w:rPr>
      </w:pPr>
      <w:r w:rsidRPr="001027AA">
        <w:rPr>
          <w:b/>
          <w:i/>
          <w:u w:val="single"/>
        </w:rPr>
        <w:t xml:space="preserve">Proposal </w:t>
      </w:r>
      <w:r w:rsidR="00DC2B6F">
        <w:rPr>
          <w:b/>
          <w:i/>
          <w:u w:val="single"/>
        </w:rPr>
        <w:t>2</w:t>
      </w:r>
      <w:r w:rsidRPr="001027AA">
        <w:rPr>
          <w:b/>
          <w:i/>
        </w:rPr>
        <w:t>: NRU to support RTS/CTS mechanism to help mitigating potential hidden node issue.</w:t>
      </w:r>
    </w:p>
    <w:p w14:paraId="6D498271" w14:textId="66DBA1AE" w:rsidR="006F21A8" w:rsidRDefault="006F21A8" w:rsidP="006A1E84">
      <w:pPr>
        <w:pStyle w:val="Heading1"/>
      </w:pPr>
      <w:r>
        <w:t xml:space="preserve">UE </w:t>
      </w:r>
      <w:r w:rsidR="004F35E5">
        <w:t xml:space="preserve">Assisted </w:t>
      </w:r>
      <w:r w:rsidR="003E52E6">
        <w:t>Channel Selection</w:t>
      </w:r>
      <w:r>
        <w:t xml:space="preserve"> </w:t>
      </w:r>
    </w:p>
    <w:p w14:paraId="4D6940CD" w14:textId="3EBD0D7C" w:rsidR="007F469E" w:rsidRDefault="003E52E6" w:rsidP="003E52E6">
      <w:pPr>
        <w:jc w:val="both"/>
      </w:pPr>
      <w:r>
        <w:t xml:space="preserve">One mechanism that enables a fair spectrum sharing is dynamic channel selection, where the transmitter (e.g. LAA base station) can scan the spectrum for available channels both at initial power up as well as periodically after initial power up. This </w:t>
      </w:r>
      <w:r w:rsidR="0045595C">
        <w:t xml:space="preserve">dynamic channel selection </w:t>
      </w:r>
      <w:r w:rsidR="00C963BC">
        <w:t>can be</w:t>
      </w:r>
      <w:r w:rsidR="0045595C">
        <w:t xml:space="preserve"> </w:t>
      </w:r>
      <w:r>
        <w:t xml:space="preserve">helpful in regions where LBT are not mandated. </w:t>
      </w:r>
      <w:r w:rsidR="0045595C">
        <w:t xml:space="preserve">The measurement </w:t>
      </w:r>
      <w:r>
        <w:t>is typically done at the transmitter side, and typically uses energy-based measurement making it RAT agnostic.</w:t>
      </w:r>
    </w:p>
    <w:p w14:paraId="65865AE7" w14:textId="77777777" w:rsidR="00F50FE8" w:rsidRDefault="00F50FE8" w:rsidP="003E52E6">
      <w:pPr>
        <w:jc w:val="both"/>
      </w:pPr>
    </w:p>
    <w:p w14:paraId="67AFA328" w14:textId="77777777" w:rsidR="00F50FE8" w:rsidRDefault="00F50FE8" w:rsidP="003E52E6">
      <w:pPr>
        <w:jc w:val="both"/>
      </w:pPr>
      <w:r>
        <w:t xml:space="preserve">As discussed in earlier sections, in certain scenarios, the interference or channel utilization observed at the transmitter does not always reflect the interference seen at the receiver side, which is often more relevant. Therefore, it could be helpful that UEs can periodically (or occasionally) report their own measurement to the gNB scheduler to assist the channel selection procedure. </w:t>
      </w:r>
    </w:p>
    <w:p w14:paraId="7188DB6B" w14:textId="77777777" w:rsidR="00F50FE8" w:rsidRDefault="00F50FE8" w:rsidP="003E52E6">
      <w:pPr>
        <w:jc w:val="both"/>
      </w:pPr>
    </w:p>
    <w:p w14:paraId="6E5A2F60" w14:textId="728BFFCB" w:rsidR="00F50FE8" w:rsidRDefault="00F50FE8" w:rsidP="003E52E6">
      <w:pPr>
        <w:jc w:val="both"/>
      </w:pPr>
      <w:r>
        <w:t xml:space="preserve">In addition, for the UE-assisted channel selection, the UE measurement could be energy-based if scheduler want to RAT agnostic, or potentially RAT specific if LAA cells want to only avoid interference </w:t>
      </w:r>
      <w:r w:rsidR="005B5CD9">
        <w:t>from a particular RAT (e.g. UE can detect based on Wi-Fi pre-amble if want to avoi</w:t>
      </w:r>
      <w:r w:rsidR="00C963BC">
        <w:t>d interference from Wi-Fi devices).</w:t>
      </w:r>
    </w:p>
    <w:p w14:paraId="1CB16904" w14:textId="77777777" w:rsidR="003E52E6" w:rsidRDefault="003E52E6" w:rsidP="008D6B29"/>
    <w:p w14:paraId="44EF2AF1" w14:textId="143F1597" w:rsidR="00E413B2" w:rsidRPr="00C963BC" w:rsidRDefault="00C963BC" w:rsidP="008D6B29">
      <w:pPr>
        <w:rPr>
          <w:b/>
          <w:i/>
        </w:rPr>
      </w:pPr>
      <w:r w:rsidRPr="00C963BC">
        <w:rPr>
          <w:b/>
          <w:i/>
          <w:u w:val="single"/>
        </w:rPr>
        <w:t xml:space="preserve">Proposal </w:t>
      </w:r>
      <w:r w:rsidR="00DC2B6F">
        <w:rPr>
          <w:b/>
          <w:i/>
          <w:u w:val="single"/>
        </w:rPr>
        <w:t>3</w:t>
      </w:r>
      <w:r w:rsidRPr="00C963BC">
        <w:rPr>
          <w:b/>
          <w:i/>
        </w:rPr>
        <w:t xml:space="preserve">: </w:t>
      </w:r>
      <w:r w:rsidR="00FE3D51">
        <w:rPr>
          <w:b/>
          <w:i/>
        </w:rPr>
        <w:t>NRU to</w:t>
      </w:r>
      <w:r w:rsidRPr="00C963BC">
        <w:rPr>
          <w:b/>
          <w:i/>
        </w:rPr>
        <w:t xml:space="preserve"> support UE-assisted channel selection.</w:t>
      </w:r>
    </w:p>
    <w:p w14:paraId="20B2BA9C" w14:textId="77777777" w:rsidR="006F574B" w:rsidRDefault="006F574B" w:rsidP="006F21A8">
      <w:pPr>
        <w:jc w:val="both"/>
        <w:rPr>
          <w:b/>
          <w:i/>
          <w:sz w:val="20"/>
          <w:szCs w:val="20"/>
        </w:rPr>
      </w:pPr>
    </w:p>
    <w:p w14:paraId="2896E657" w14:textId="38489508" w:rsidR="00854A60" w:rsidRDefault="00CB1432" w:rsidP="00FB330B">
      <w:pPr>
        <w:pStyle w:val="Heading1"/>
      </w:pPr>
      <w:r>
        <w:t>Concl</w:t>
      </w:r>
      <w:r w:rsidR="009C5A97" w:rsidRPr="00FB330B">
        <w:t>usion</w:t>
      </w:r>
      <w:r w:rsidR="004424BC" w:rsidRPr="00FB330B">
        <w:t>s</w:t>
      </w:r>
    </w:p>
    <w:p w14:paraId="5DD07323" w14:textId="71ADFBAD" w:rsidR="00FE3D51" w:rsidRDefault="00FE3D51" w:rsidP="00FE3D51">
      <w:r>
        <w:t>In this contribution, we briefly discuss a few existing Rel-15 NR features that could be leveraged for NR based unlicensed access. We have the following observation and proposals:</w:t>
      </w:r>
    </w:p>
    <w:p w14:paraId="7314EBED" w14:textId="77777777" w:rsidR="00FE3D51" w:rsidRDefault="00FE3D51" w:rsidP="00FE3D51">
      <w:pPr>
        <w:rPr>
          <w:b/>
          <w:i/>
          <w:color w:val="000000" w:themeColor="text1"/>
        </w:rPr>
      </w:pPr>
    </w:p>
    <w:p w14:paraId="19A31085" w14:textId="77777777" w:rsidR="00DC2B6F" w:rsidRDefault="00DC2B6F" w:rsidP="00DC2B6F">
      <w:pPr>
        <w:jc w:val="both"/>
        <w:rPr>
          <w:b/>
          <w:i/>
        </w:rPr>
      </w:pPr>
      <w:r w:rsidRPr="00DC2B6F">
        <w:rPr>
          <w:b/>
          <w:i/>
          <w:u w:val="single"/>
        </w:rPr>
        <w:t>Proposal 1</w:t>
      </w:r>
      <w:r w:rsidRPr="00DC2B6F">
        <w:rPr>
          <w:b/>
          <w:i/>
        </w:rPr>
        <w:t xml:space="preserve">: NRU supports different LBT priorities based on multiple factors, including service type, requested COT, and transmitted power. </w:t>
      </w:r>
    </w:p>
    <w:p w14:paraId="1FBD904A" w14:textId="77777777" w:rsidR="00DC2B6F" w:rsidRPr="00DC2B6F" w:rsidRDefault="00DC2B6F" w:rsidP="00DC2B6F">
      <w:pPr>
        <w:jc w:val="both"/>
        <w:rPr>
          <w:b/>
          <w:i/>
        </w:rPr>
      </w:pPr>
    </w:p>
    <w:p w14:paraId="548AFCE6" w14:textId="4DFD1DC3" w:rsidR="00FE3D51" w:rsidRDefault="00FE3D51" w:rsidP="00FE3D51">
      <w:pPr>
        <w:jc w:val="both"/>
        <w:rPr>
          <w:b/>
          <w:i/>
        </w:rPr>
      </w:pPr>
      <w:r w:rsidRPr="001027AA">
        <w:rPr>
          <w:b/>
          <w:i/>
          <w:u w:val="single"/>
        </w:rPr>
        <w:t xml:space="preserve">Proposal </w:t>
      </w:r>
      <w:r w:rsidR="00DC2B6F">
        <w:rPr>
          <w:b/>
          <w:i/>
          <w:u w:val="single"/>
        </w:rPr>
        <w:t>2</w:t>
      </w:r>
      <w:r w:rsidRPr="001027AA">
        <w:rPr>
          <w:b/>
          <w:i/>
        </w:rPr>
        <w:t>: NRU to support RTS/CTS mechanism to help mitigating potential hidden node issue.</w:t>
      </w:r>
    </w:p>
    <w:p w14:paraId="516130F6" w14:textId="77777777" w:rsidR="00FE3D51" w:rsidRDefault="00FE3D51" w:rsidP="00FE3D51">
      <w:pPr>
        <w:jc w:val="both"/>
        <w:rPr>
          <w:b/>
          <w:i/>
        </w:rPr>
      </w:pPr>
    </w:p>
    <w:p w14:paraId="5673E6BD" w14:textId="735D499B" w:rsidR="00FE3D51" w:rsidRPr="00C963BC" w:rsidRDefault="00FE3D51" w:rsidP="00FE3D51">
      <w:pPr>
        <w:rPr>
          <w:b/>
          <w:i/>
        </w:rPr>
      </w:pPr>
      <w:r w:rsidRPr="00C963BC">
        <w:rPr>
          <w:b/>
          <w:i/>
          <w:u w:val="single"/>
        </w:rPr>
        <w:t xml:space="preserve">Proposal </w:t>
      </w:r>
      <w:r w:rsidR="00DC2B6F">
        <w:rPr>
          <w:b/>
          <w:i/>
          <w:u w:val="single"/>
        </w:rPr>
        <w:t>3</w:t>
      </w:r>
      <w:r w:rsidRPr="00C963BC">
        <w:rPr>
          <w:b/>
          <w:i/>
        </w:rPr>
        <w:t xml:space="preserve">: </w:t>
      </w:r>
      <w:r>
        <w:rPr>
          <w:b/>
          <w:i/>
        </w:rPr>
        <w:t>NRU to</w:t>
      </w:r>
      <w:r w:rsidRPr="00C963BC">
        <w:rPr>
          <w:b/>
          <w:i/>
        </w:rPr>
        <w:t xml:space="preserve"> support UE-assisted channel selection.</w:t>
      </w:r>
    </w:p>
    <w:p w14:paraId="6D068700" w14:textId="77777777" w:rsidR="00CD4074" w:rsidRDefault="00CD4074" w:rsidP="0005407B">
      <w:pPr>
        <w:jc w:val="both"/>
        <w:rPr>
          <w:b/>
          <w:sz w:val="20"/>
          <w:szCs w:val="20"/>
        </w:rPr>
      </w:pPr>
    </w:p>
    <w:p w14:paraId="7716D850" w14:textId="47F291FA" w:rsidR="003E0F30" w:rsidRDefault="005C63AE" w:rsidP="00920B5C">
      <w:pPr>
        <w:pStyle w:val="Heading1"/>
      </w:pPr>
      <w:r>
        <w:t>References</w:t>
      </w:r>
    </w:p>
    <w:p w14:paraId="217E5F97" w14:textId="0CF2AB2B" w:rsidR="00280537" w:rsidRPr="00D533ED" w:rsidRDefault="00834197"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6" w:name="_Ref506552387"/>
      <w:r>
        <w:rPr>
          <w:sz w:val="20"/>
          <w:szCs w:val="20"/>
        </w:rPr>
        <w:t xml:space="preserve">RP-172021, “Revised SID on NR-based Access to Unlicensed Spectrum”, </w:t>
      </w:r>
      <w:r w:rsidR="00AF7E04">
        <w:rPr>
          <w:sz w:val="20"/>
          <w:szCs w:val="20"/>
        </w:rPr>
        <w:t>3GPP RAN</w:t>
      </w:r>
      <w:r>
        <w:rPr>
          <w:sz w:val="20"/>
          <w:szCs w:val="20"/>
        </w:rPr>
        <w:t xml:space="preserve"> #77</w:t>
      </w:r>
      <w:r w:rsidR="00FF42E9" w:rsidRPr="0015118E">
        <w:rPr>
          <w:sz w:val="20"/>
          <w:szCs w:val="20"/>
        </w:rPr>
        <w:t xml:space="preserve">, </w:t>
      </w:r>
      <w:r>
        <w:rPr>
          <w:sz w:val="20"/>
        </w:rPr>
        <w:t>Sapporo</w:t>
      </w:r>
      <w:r w:rsidR="009948B6" w:rsidRPr="000B1042">
        <w:rPr>
          <w:sz w:val="20"/>
        </w:rPr>
        <w:t>,</w:t>
      </w:r>
      <w:r>
        <w:rPr>
          <w:sz w:val="20"/>
        </w:rPr>
        <w:t xml:space="preserve"> Japan</w:t>
      </w:r>
      <w:r w:rsidR="009948B6" w:rsidRPr="000B1042">
        <w:rPr>
          <w:sz w:val="20"/>
        </w:rPr>
        <w:t xml:space="preserve">, </w:t>
      </w:r>
      <w:r>
        <w:rPr>
          <w:sz w:val="20"/>
        </w:rPr>
        <w:t>11</w:t>
      </w:r>
      <w:r>
        <w:rPr>
          <w:sz w:val="20"/>
          <w:vertAlign w:val="superscript"/>
        </w:rPr>
        <w:t>th</w:t>
      </w:r>
      <w:r w:rsidR="009948B6">
        <w:rPr>
          <w:sz w:val="20"/>
        </w:rPr>
        <w:t xml:space="preserve"> </w:t>
      </w:r>
      <w:r w:rsidR="009948B6" w:rsidRPr="000B1042">
        <w:rPr>
          <w:sz w:val="20"/>
        </w:rPr>
        <w:t xml:space="preserve">– </w:t>
      </w:r>
      <w:r>
        <w:rPr>
          <w:sz w:val="20"/>
        </w:rPr>
        <w:t>14</w:t>
      </w:r>
      <w:r w:rsidR="009948B6" w:rsidRPr="000B1042">
        <w:rPr>
          <w:sz w:val="20"/>
          <w:vertAlign w:val="superscript"/>
        </w:rPr>
        <w:t>th</w:t>
      </w:r>
      <w:r w:rsidR="009948B6" w:rsidRPr="000B1042">
        <w:rPr>
          <w:sz w:val="20"/>
        </w:rPr>
        <w:t xml:space="preserve"> </w:t>
      </w:r>
      <w:r>
        <w:rPr>
          <w:sz w:val="20"/>
        </w:rPr>
        <w:t>September 2017.</w:t>
      </w:r>
      <w:bookmarkEnd w:id="6"/>
    </w:p>
    <w:p w14:paraId="47CC749D" w14:textId="4E215F4C" w:rsidR="00D533ED" w:rsidRPr="006C5678" w:rsidRDefault="00D533ED"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7" w:name="_Ref506468726"/>
      <w:r>
        <w:rPr>
          <w:sz w:val="20"/>
        </w:rPr>
        <w:t>ETSI</w:t>
      </w:r>
      <w:r w:rsidR="006C5678">
        <w:rPr>
          <w:sz w:val="20"/>
        </w:rPr>
        <w:t xml:space="preserve"> EN 301 893, “5GHz RLAN; Harmonised Standard covering the essential requirements of article 3.2 of Directive 2014/53/EU”</w:t>
      </w:r>
      <w:bookmarkEnd w:id="7"/>
    </w:p>
    <w:p w14:paraId="7151BA9A" w14:textId="73997B3F" w:rsidR="006C5678" w:rsidRDefault="006C5678"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8" w:name="_Ref506468732"/>
      <w:r>
        <w:rPr>
          <w:sz w:val="20"/>
          <w:szCs w:val="20"/>
        </w:rPr>
        <w:t>ETSI EN 302 567, “Multiple-Gigabit radio equipment operating in the 60GHz band”</w:t>
      </w:r>
      <w:bookmarkEnd w:id="8"/>
      <w:r w:rsidR="00C722B1">
        <w:rPr>
          <w:sz w:val="20"/>
          <w:szCs w:val="20"/>
        </w:rPr>
        <w:t>.</w:t>
      </w:r>
    </w:p>
    <w:p w14:paraId="2A9A1161" w14:textId="7A0BA282" w:rsidR="00C722B1" w:rsidRDefault="00C722B1"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10794934"/>
      <w:r>
        <w:rPr>
          <w:sz w:val="20"/>
          <w:szCs w:val="20"/>
        </w:rPr>
        <w:t>R1-1804768, “NR unlicensed physical channel design considerations”, Apple Inc., 3GPP RAN1 #92bis, Sanya, China, 16</w:t>
      </w:r>
      <w:r w:rsidRPr="00C722B1">
        <w:rPr>
          <w:sz w:val="20"/>
          <w:szCs w:val="20"/>
          <w:vertAlign w:val="superscript"/>
        </w:rPr>
        <w:t>th</w:t>
      </w:r>
      <w:r>
        <w:rPr>
          <w:sz w:val="20"/>
          <w:szCs w:val="20"/>
        </w:rPr>
        <w:t xml:space="preserve"> – 20</w:t>
      </w:r>
      <w:r w:rsidRPr="00C722B1">
        <w:rPr>
          <w:sz w:val="20"/>
          <w:szCs w:val="20"/>
          <w:vertAlign w:val="superscript"/>
        </w:rPr>
        <w:t>th</w:t>
      </w:r>
      <w:r>
        <w:rPr>
          <w:sz w:val="20"/>
          <w:szCs w:val="20"/>
        </w:rPr>
        <w:t>, April 2018.</w:t>
      </w:r>
      <w:bookmarkEnd w:id="9"/>
    </w:p>
    <w:p w14:paraId="73140E2C" w14:textId="7FBC4E48" w:rsidR="00B00240" w:rsidRPr="00BB67D8" w:rsidRDefault="00B00240" w:rsidP="00C963BC">
      <w:pPr>
        <w:overflowPunct w:val="0"/>
        <w:autoSpaceDE w:val="0"/>
        <w:autoSpaceDN w:val="0"/>
        <w:adjustRightInd w:val="0"/>
        <w:spacing w:before="100" w:beforeAutospacing="1" w:after="100" w:afterAutospacing="1"/>
        <w:ind w:left="562"/>
        <w:textAlignment w:val="baseline"/>
        <w:rPr>
          <w:sz w:val="20"/>
          <w:szCs w:val="20"/>
        </w:rPr>
      </w:pPr>
    </w:p>
    <w:sectPr w:rsidR="00B00240" w:rsidRPr="00BB67D8">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8D81B" w14:textId="77777777" w:rsidR="008E11CF" w:rsidRDefault="008E11CF">
      <w:r>
        <w:separator/>
      </w:r>
    </w:p>
  </w:endnote>
  <w:endnote w:type="continuationSeparator" w:id="0">
    <w:p w14:paraId="22771EAC" w14:textId="77777777" w:rsidR="008E11CF" w:rsidRDefault="008E11CF">
      <w:r>
        <w:continuationSeparator/>
      </w:r>
    </w:p>
  </w:endnote>
  <w:endnote w:type="continuationNotice" w:id="1">
    <w:p w14:paraId="147747E2" w14:textId="77777777" w:rsidR="008E11CF" w:rsidRDefault="008E11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8D81D" w14:textId="77777777" w:rsidR="008E11CF" w:rsidRDefault="008E11CF">
      <w:r>
        <w:separator/>
      </w:r>
    </w:p>
  </w:footnote>
  <w:footnote w:type="continuationSeparator" w:id="0">
    <w:p w14:paraId="63721DF9" w14:textId="77777777" w:rsidR="008E11CF" w:rsidRDefault="008E11CF">
      <w:r>
        <w:continuationSeparator/>
      </w:r>
    </w:p>
  </w:footnote>
  <w:footnote w:type="continuationNotice" w:id="1">
    <w:p w14:paraId="68E21600" w14:textId="77777777" w:rsidR="008E11CF" w:rsidRDefault="008E11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335BFA"/>
    <w:multiLevelType w:val="hybridMultilevel"/>
    <w:tmpl w:val="86388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hybridMultilevel"/>
    <w:tmpl w:val="49C0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67255"/>
    <w:multiLevelType w:val="hybridMultilevel"/>
    <w:tmpl w:val="D4242022"/>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1"/>
  </w:num>
  <w:num w:numId="6">
    <w:abstractNumId w:val="18"/>
  </w:num>
  <w:num w:numId="7">
    <w:abstractNumId w:val="24"/>
  </w:num>
  <w:num w:numId="8">
    <w:abstractNumId w:val="12"/>
  </w:num>
  <w:num w:numId="9">
    <w:abstractNumId w:val="21"/>
  </w:num>
  <w:num w:numId="10">
    <w:abstractNumId w:val="14"/>
  </w:num>
  <w:num w:numId="11">
    <w:abstractNumId w:val="13"/>
  </w:num>
  <w:num w:numId="12">
    <w:abstractNumId w:val="25"/>
  </w:num>
  <w:num w:numId="13">
    <w:abstractNumId w:val="8"/>
  </w:num>
  <w:num w:numId="14">
    <w:abstractNumId w:val="1"/>
  </w:num>
  <w:num w:numId="15">
    <w:abstractNumId w:val="5"/>
  </w:num>
  <w:num w:numId="16">
    <w:abstractNumId w:val="27"/>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19"/>
  </w:num>
  <w:num w:numId="23">
    <w:abstractNumId w:val="26"/>
  </w:num>
  <w:num w:numId="24">
    <w:abstractNumId w:val="6"/>
  </w:num>
  <w:num w:numId="25">
    <w:abstractNumId w:val="15"/>
  </w:num>
  <w:num w:numId="26">
    <w:abstractNumId w:val="23"/>
  </w:num>
  <w:num w:numId="27">
    <w:abstractNumId w:val="2"/>
  </w:num>
  <w:num w:numId="28">
    <w:abstractNumId w:val="10"/>
  </w:num>
  <w:num w:numId="29">
    <w:abstractNumId w:val="9"/>
  </w:num>
  <w:num w:numId="30">
    <w:abstractNumId w:val="22"/>
  </w:num>
  <w:num w:numId="3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4BB1"/>
    <w:rsid w:val="00004BE5"/>
    <w:rsid w:val="00006446"/>
    <w:rsid w:val="0000685E"/>
    <w:rsid w:val="00006896"/>
    <w:rsid w:val="00006B58"/>
    <w:rsid w:val="00007198"/>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E0E"/>
    <w:rsid w:val="00041768"/>
    <w:rsid w:val="00041925"/>
    <w:rsid w:val="000422E2"/>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707A2"/>
    <w:rsid w:val="000708A3"/>
    <w:rsid w:val="00071F96"/>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6B7"/>
    <w:rsid w:val="000A18D4"/>
    <w:rsid w:val="000A1967"/>
    <w:rsid w:val="000A1B7B"/>
    <w:rsid w:val="000A1BCE"/>
    <w:rsid w:val="000A2785"/>
    <w:rsid w:val="000A4016"/>
    <w:rsid w:val="000A4393"/>
    <w:rsid w:val="000A54F0"/>
    <w:rsid w:val="000A56F2"/>
    <w:rsid w:val="000A59FD"/>
    <w:rsid w:val="000A5DDE"/>
    <w:rsid w:val="000A61F3"/>
    <w:rsid w:val="000A6644"/>
    <w:rsid w:val="000A6B7D"/>
    <w:rsid w:val="000A6DA2"/>
    <w:rsid w:val="000A7068"/>
    <w:rsid w:val="000A7B19"/>
    <w:rsid w:val="000A7CEF"/>
    <w:rsid w:val="000A7D0B"/>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3F7"/>
    <w:rsid w:val="000D17F5"/>
    <w:rsid w:val="000D1F2E"/>
    <w:rsid w:val="000D1F94"/>
    <w:rsid w:val="000D27CD"/>
    <w:rsid w:val="000D4797"/>
    <w:rsid w:val="000D4FAC"/>
    <w:rsid w:val="000D50DB"/>
    <w:rsid w:val="000D59C5"/>
    <w:rsid w:val="000D6423"/>
    <w:rsid w:val="000D6841"/>
    <w:rsid w:val="000D71F4"/>
    <w:rsid w:val="000D7715"/>
    <w:rsid w:val="000D7BDE"/>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1C67"/>
    <w:rsid w:val="000F2053"/>
    <w:rsid w:val="000F3BE9"/>
    <w:rsid w:val="000F3F6C"/>
    <w:rsid w:val="000F4E73"/>
    <w:rsid w:val="000F63FD"/>
    <w:rsid w:val="000F6DF3"/>
    <w:rsid w:val="000F75D8"/>
    <w:rsid w:val="001002DA"/>
    <w:rsid w:val="001005FF"/>
    <w:rsid w:val="00100B06"/>
    <w:rsid w:val="00100D9C"/>
    <w:rsid w:val="001027AA"/>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765"/>
    <w:rsid w:val="00116BA2"/>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69D4"/>
    <w:rsid w:val="001501DB"/>
    <w:rsid w:val="00150AB6"/>
    <w:rsid w:val="00150F90"/>
    <w:rsid w:val="00151189"/>
    <w:rsid w:val="0015118E"/>
    <w:rsid w:val="00151E23"/>
    <w:rsid w:val="00152321"/>
    <w:rsid w:val="001523F3"/>
    <w:rsid w:val="001526E0"/>
    <w:rsid w:val="00152DBF"/>
    <w:rsid w:val="00153A1F"/>
    <w:rsid w:val="00154671"/>
    <w:rsid w:val="00155135"/>
    <w:rsid w:val="00155155"/>
    <w:rsid w:val="001551B5"/>
    <w:rsid w:val="00155512"/>
    <w:rsid w:val="001556BD"/>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6169"/>
    <w:rsid w:val="00167FD2"/>
    <w:rsid w:val="001701F0"/>
    <w:rsid w:val="001702E2"/>
    <w:rsid w:val="00170E4E"/>
    <w:rsid w:val="001711C4"/>
    <w:rsid w:val="00171238"/>
    <w:rsid w:val="0017131F"/>
    <w:rsid w:val="00171D65"/>
    <w:rsid w:val="00172253"/>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503"/>
    <w:rsid w:val="00185D66"/>
    <w:rsid w:val="001871DD"/>
    <w:rsid w:val="001875B6"/>
    <w:rsid w:val="00187930"/>
    <w:rsid w:val="00190AC1"/>
    <w:rsid w:val="001927DF"/>
    <w:rsid w:val="001932FC"/>
    <w:rsid w:val="0019341A"/>
    <w:rsid w:val="00193DCE"/>
    <w:rsid w:val="00194B49"/>
    <w:rsid w:val="00194F24"/>
    <w:rsid w:val="00196A3C"/>
    <w:rsid w:val="00196D77"/>
    <w:rsid w:val="0019757B"/>
    <w:rsid w:val="00197A2B"/>
    <w:rsid w:val="00197CFF"/>
    <w:rsid w:val="00197DF9"/>
    <w:rsid w:val="001A0F35"/>
    <w:rsid w:val="001A10BD"/>
    <w:rsid w:val="001A1549"/>
    <w:rsid w:val="001A1987"/>
    <w:rsid w:val="001A2564"/>
    <w:rsid w:val="001A2707"/>
    <w:rsid w:val="001A279E"/>
    <w:rsid w:val="001A3324"/>
    <w:rsid w:val="001A464A"/>
    <w:rsid w:val="001A48E8"/>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2D32"/>
    <w:rsid w:val="001B4453"/>
    <w:rsid w:val="001B49EC"/>
    <w:rsid w:val="001B52BA"/>
    <w:rsid w:val="001B59DA"/>
    <w:rsid w:val="001B5A5D"/>
    <w:rsid w:val="001B612E"/>
    <w:rsid w:val="001B6813"/>
    <w:rsid w:val="001B68B3"/>
    <w:rsid w:val="001B796C"/>
    <w:rsid w:val="001B7A0B"/>
    <w:rsid w:val="001B7F5A"/>
    <w:rsid w:val="001C0105"/>
    <w:rsid w:val="001C100B"/>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7079"/>
    <w:rsid w:val="0021735F"/>
    <w:rsid w:val="00217ABD"/>
    <w:rsid w:val="00217D43"/>
    <w:rsid w:val="00220600"/>
    <w:rsid w:val="002217DD"/>
    <w:rsid w:val="002224DB"/>
    <w:rsid w:val="00222DBC"/>
    <w:rsid w:val="00223CDE"/>
    <w:rsid w:val="00223FCB"/>
    <w:rsid w:val="002252AD"/>
    <w:rsid w:val="002252C3"/>
    <w:rsid w:val="002257C5"/>
    <w:rsid w:val="00225C54"/>
    <w:rsid w:val="00226A79"/>
    <w:rsid w:val="00227AF2"/>
    <w:rsid w:val="00227E24"/>
    <w:rsid w:val="00227ECB"/>
    <w:rsid w:val="00230765"/>
    <w:rsid w:val="002319E4"/>
    <w:rsid w:val="00232C7C"/>
    <w:rsid w:val="00233C3D"/>
    <w:rsid w:val="00233C9B"/>
    <w:rsid w:val="002352DA"/>
    <w:rsid w:val="00235632"/>
    <w:rsid w:val="00235872"/>
    <w:rsid w:val="00235B27"/>
    <w:rsid w:val="00235BBB"/>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4D4D"/>
    <w:rsid w:val="0027544A"/>
    <w:rsid w:val="00275549"/>
    <w:rsid w:val="0027586B"/>
    <w:rsid w:val="00276B58"/>
    <w:rsid w:val="00276BE3"/>
    <w:rsid w:val="0027777C"/>
    <w:rsid w:val="00280537"/>
    <w:rsid w:val="002805F5"/>
    <w:rsid w:val="00280751"/>
    <w:rsid w:val="00280848"/>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67A"/>
    <w:rsid w:val="0029777D"/>
    <w:rsid w:val="002A055E"/>
    <w:rsid w:val="002A1002"/>
    <w:rsid w:val="002A17BC"/>
    <w:rsid w:val="002A1AE5"/>
    <w:rsid w:val="002A1D4E"/>
    <w:rsid w:val="002A2869"/>
    <w:rsid w:val="002A2980"/>
    <w:rsid w:val="002A2A87"/>
    <w:rsid w:val="002A2DB3"/>
    <w:rsid w:val="002A30D2"/>
    <w:rsid w:val="002A379D"/>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050"/>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6A1A"/>
    <w:rsid w:val="00376B9D"/>
    <w:rsid w:val="00377CE1"/>
    <w:rsid w:val="003807F1"/>
    <w:rsid w:val="00380D0E"/>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9BC"/>
    <w:rsid w:val="003B5A27"/>
    <w:rsid w:val="003B5F50"/>
    <w:rsid w:val="003B70DF"/>
    <w:rsid w:val="003B70E0"/>
    <w:rsid w:val="003B7700"/>
    <w:rsid w:val="003B785E"/>
    <w:rsid w:val="003B7FE5"/>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606C"/>
    <w:rsid w:val="003D6556"/>
    <w:rsid w:val="003D761D"/>
    <w:rsid w:val="003D7A25"/>
    <w:rsid w:val="003E04AC"/>
    <w:rsid w:val="003E05BD"/>
    <w:rsid w:val="003E072B"/>
    <w:rsid w:val="003E0D27"/>
    <w:rsid w:val="003E0F30"/>
    <w:rsid w:val="003E1481"/>
    <w:rsid w:val="003E15FA"/>
    <w:rsid w:val="003E181F"/>
    <w:rsid w:val="003E1D4C"/>
    <w:rsid w:val="003E33C2"/>
    <w:rsid w:val="003E3A14"/>
    <w:rsid w:val="003E3C4D"/>
    <w:rsid w:val="003E3DE7"/>
    <w:rsid w:val="003E434B"/>
    <w:rsid w:val="003E52E6"/>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E7D"/>
    <w:rsid w:val="003F6ED2"/>
    <w:rsid w:val="004000E8"/>
    <w:rsid w:val="00400EF0"/>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EC8"/>
    <w:rsid w:val="00417E76"/>
    <w:rsid w:val="00421105"/>
    <w:rsid w:val="00421595"/>
    <w:rsid w:val="00422979"/>
    <w:rsid w:val="00422A70"/>
    <w:rsid w:val="00422F98"/>
    <w:rsid w:val="00424028"/>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50B74"/>
    <w:rsid w:val="00450DD4"/>
    <w:rsid w:val="004517AA"/>
    <w:rsid w:val="00451C61"/>
    <w:rsid w:val="00452CAC"/>
    <w:rsid w:val="004533DD"/>
    <w:rsid w:val="004539C6"/>
    <w:rsid w:val="00453C0A"/>
    <w:rsid w:val="004541F9"/>
    <w:rsid w:val="00454DB3"/>
    <w:rsid w:val="0045578A"/>
    <w:rsid w:val="0045595C"/>
    <w:rsid w:val="004561E0"/>
    <w:rsid w:val="00456FC4"/>
    <w:rsid w:val="00457565"/>
    <w:rsid w:val="00457B71"/>
    <w:rsid w:val="00457CD9"/>
    <w:rsid w:val="00460601"/>
    <w:rsid w:val="00460721"/>
    <w:rsid w:val="00460746"/>
    <w:rsid w:val="004619F9"/>
    <w:rsid w:val="00461EBB"/>
    <w:rsid w:val="004621E8"/>
    <w:rsid w:val="00462C81"/>
    <w:rsid w:val="00462FA5"/>
    <w:rsid w:val="0046430E"/>
    <w:rsid w:val="00464E0F"/>
    <w:rsid w:val="004651AD"/>
    <w:rsid w:val="00465F3A"/>
    <w:rsid w:val="0046694A"/>
    <w:rsid w:val="004669E2"/>
    <w:rsid w:val="00466EBC"/>
    <w:rsid w:val="00467BB9"/>
    <w:rsid w:val="00470C31"/>
    <w:rsid w:val="00470C4F"/>
    <w:rsid w:val="004719C3"/>
    <w:rsid w:val="00472FAC"/>
    <w:rsid w:val="004734D0"/>
    <w:rsid w:val="00473C75"/>
    <w:rsid w:val="00474096"/>
    <w:rsid w:val="004744C0"/>
    <w:rsid w:val="0047556B"/>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CED"/>
    <w:rsid w:val="004A515A"/>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309B2"/>
    <w:rsid w:val="005314A7"/>
    <w:rsid w:val="005317B9"/>
    <w:rsid w:val="005321B3"/>
    <w:rsid w:val="00533152"/>
    <w:rsid w:val="005338D0"/>
    <w:rsid w:val="00533977"/>
    <w:rsid w:val="00533EA0"/>
    <w:rsid w:val="005342E2"/>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46FD0"/>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82D"/>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F4"/>
    <w:rsid w:val="00591ADF"/>
    <w:rsid w:val="00591D01"/>
    <w:rsid w:val="00591F85"/>
    <w:rsid w:val="0059346F"/>
    <w:rsid w:val="005935A4"/>
    <w:rsid w:val="0059484A"/>
    <w:rsid w:val="005948C2"/>
    <w:rsid w:val="00594DD0"/>
    <w:rsid w:val="0059525F"/>
    <w:rsid w:val="005955D9"/>
    <w:rsid w:val="00595B60"/>
    <w:rsid w:val="00595DCA"/>
    <w:rsid w:val="00596BF0"/>
    <w:rsid w:val="0059779B"/>
    <w:rsid w:val="005A0A0F"/>
    <w:rsid w:val="005A209A"/>
    <w:rsid w:val="005A2941"/>
    <w:rsid w:val="005A2D3E"/>
    <w:rsid w:val="005A2DB9"/>
    <w:rsid w:val="005A31FB"/>
    <w:rsid w:val="005A3F97"/>
    <w:rsid w:val="005A4EE2"/>
    <w:rsid w:val="005A519F"/>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5CD9"/>
    <w:rsid w:val="005B6F83"/>
    <w:rsid w:val="005C1E43"/>
    <w:rsid w:val="005C2797"/>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1B85"/>
    <w:rsid w:val="005D2414"/>
    <w:rsid w:val="005D2963"/>
    <w:rsid w:val="005D304C"/>
    <w:rsid w:val="005D382E"/>
    <w:rsid w:val="005D3A41"/>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5197"/>
    <w:rsid w:val="005E53B0"/>
    <w:rsid w:val="005E5B81"/>
    <w:rsid w:val="005E72E7"/>
    <w:rsid w:val="005E755A"/>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0EDC"/>
    <w:rsid w:val="00611A89"/>
    <w:rsid w:val="00611B83"/>
    <w:rsid w:val="0061206D"/>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4E8E"/>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B2B"/>
    <w:rsid w:val="00655733"/>
    <w:rsid w:val="00655751"/>
    <w:rsid w:val="00655ACD"/>
    <w:rsid w:val="00655F1C"/>
    <w:rsid w:val="0065609B"/>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03"/>
    <w:rsid w:val="006777B6"/>
    <w:rsid w:val="00680143"/>
    <w:rsid w:val="0068021F"/>
    <w:rsid w:val="00680D2B"/>
    <w:rsid w:val="00681003"/>
    <w:rsid w:val="006817C9"/>
    <w:rsid w:val="006821D2"/>
    <w:rsid w:val="00682331"/>
    <w:rsid w:val="00682A5C"/>
    <w:rsid w:val="00682EA0"/>
    <w:rsid w:val="00683094"/>
    <w:rsid w:val="00683ECE"/>
    <w:rsid w:val="00684B5D"/>
    <w:rsid w:val="00684D0F"/>
    <w:rsid w:val="00684D7B"/>
    <w:rsid w:val="00685459"/>
    <w:rsid w:val="00686BEA"/>
    <w:rsid w:val="006874FF"/>
    <w:rsid w:val="0068771A"/>
    <w:rsid w:val="006906F0"/>
    <w:rsid w:val="00690B32"/>
    <w:rsid w:val="00691D35"/>
    <w:rsid w:val="00692288"/>
    <w:rsid w:val="00692947"/>
    <w:rsid w:val="00693420"/>
    <w:rsid w:val="00693EE0"/>
    <w:rsid w:val="0069540A"/>
    <w:rsid w:val="006956A6"/>
    <w:rsid w:val="00695BA8"/>
    <w:rsid w:val="00695FC2"/>
    <w:rsid w:val="0069601D"/>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533"/>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678"/>
    <w:rsid w:val="006C5805"/>
    <w:rsid w:val="006C590F"/>
    <w:rsid w:val="006C5CFF"/>
    <w:rsid w:val="006C5EC9"/>
    <w:rsid w:val="006C6059"/>
    <w:rsid w:val="006C633B"/>
    <w:rsid w:val="006C6A31"/>
    <w:rsid w:val="006C6AE0"/>
    <w:rsid w:val="006C6CF7"/>
    <w:rsid w:val="006C7522"/>
    <w:rsid w:val="006D0B9C"/>
    <w:rsid w:val="006D180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6E18"/>
    <w:rsid w:val="00707072"/>
    <w:rsid w:val="00707319"/>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63D"/>
    <w:rsid w:val="007207E0"/>
    <w:rsid w:val="00720A29"/>
    <w:rsid w:val="00720E14"/>
    <w:rsid w:val="00720FB2"/>
    <w:rsid w:val="00721593"/>
    <w:rsid w:val="007217B4"/>
    <w:rsid w:val="007231C6"/>
    <w:rsid w:val="00723279"/>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4895"/>
    <w:rsid w:val="007755F2"/>
    <w:rsid w:val="007762C9"/>
    <w:rsid w:val="00776971"/>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713"/>
    <w:rsid w:val="007F3056"/>
    <w:rsid w:val="007F30B7"/>
    <w:rsid w:val="007F31D4"/>
    <w:rsid w:val="007F3AD7"/>
    <w:rsid w:val="007F469E"/>
    <w:rsid w:val="007F49C8"/>
    <w:rsid w:val="007F5D6F"/>
    <w:rsid w:val="007F6B18"/>
    <w:rsid w:val="007F7004"/>
    <w:rsid w:val="00800783"/>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EFC"/>
    <w:rsid w:val="00821F34"/>
    <w:rsid w:val="00822A3A"/>
    <w:rsid w:val="008235DB"/>
    <w:rsid w:val="008240B9"/>
    <w:rsid w:val="00824AB4"/>
    <w:rsid w:val="00824B02"/>
    <w:rsid w:val="008259D8"/>
    <w:rsid w:val="00825C42"/>
    <w:rsid w:val="00825D25"/>
    <w:rsid w:val="0082755A"/>
    <w:rsid w:val="00827D6F"/>
    <w:rsid w:val="00831DFA"/>
    <w:rsid w:val="00832376"/>
    <w:rsid w:val="00832794"/>
    <w:rsid w:val="00832C4C"/>
    <w:rsid w:val="0083321F"/>
    <w:rsid w:val="00833DE0"/>
    <w:rsid w:val="00834197"/>
    <w:rsid w:val="00834B41"/>
    <w:rsid w:val="00834B74"/>
    <w:rsid w:val="00834E03"/>
    <w:rsid w:val="008359E6"/>
    <w:rsid w:val="008362FC"/>
    <w:rsid w:val="00836307"/>
    <w:rsid w:val="008376AC"/>
    <w:rsid w:val="0083792B"/>
    <w:rsid w:val="00837D05"/>
    <w:rsid w:val="00837EDA"/>
    <w:rsid w:val="00837F6B"/>
    <w:rsid w:val="0084044A"/>
    <w:rsid w:val="008407DD"/>
    <w:rsid w:val="00841D38"/>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2C9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5032"/>
    <w:rsid w:val="00875CD7"/>
    <w:rsid w:val="00875E97"/>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722"/>
    <w:rsid w:val="00895B85"/>
    <w:rsid w:val="00896A80"/>
    <w:rsid w:val="0089724F"/>
    <w:rsid w:val="008A041D"/>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B3C"/>
    <w:rsid w:val="008D4BF2"/>
    <w:rsid w:val="008D500F"/>
    <w:rsid w:val="008D5CCD"/>
    <w:rsid w:val="008D6737"/>
    <w:rsid w:val="008D6AD5"/>
    <w:rsid w:val="008D6B29"/>
    <w:rsid w:val="008D6D1A"/>
    <w:rsid w:val="008E065E"/>
    <w:rsid w:val="008E07DC"/>
    <w:rsid w:val="008E0927"/>
    <w:rsid w:val="008E0F80"/>
    <w:rsid w:val="008E11CF"/>
    <w:rsid w:val="008E159E"/>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F22"/>
    <w:rsid w:val="009013D1"/>
    <w:rsid w:val="00901F29"/>
    <w:rsid w:val="009020AD"/>
    <w:rsid w:val="009021F6"/>
    <w:rsid w:val="00902350"/>
    <w:rsid w:val="009024C4"/>
    <w:rsid w:val="00902A9A"/>
    <w:rsid w:val="0090336B"/>
    <w:rsid w:val="00903A3A"/>
    <w:rsid w:val="00904510"/>
    <w:rsid w:val="009053AA"/>
    <w:rsid w:val="00906939"/>
    <w:rsid w:val="009069F6"/>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6165"/>
    <w:rsid w:val="009368F3"/>
    <w:rsid w:val="00936EA7"/>
    <w:rsid w:val="00937DFF"/>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602E"/>
    <w:rsid w:val="0097603D"/>
    <w:rsid w:val="009764B4"/>
    <w:rsid w:val="00976949"/>
    <w:rsid w:val="00976A48"/>
    <w:rsid w:val="00976C4B"/>
    <w:rsid w:val="00976F19"/>
    <w:rsid w:val="00980477"/>
    <w:rsid w:val="0098075D"/>
    <w:rsid w:val="0098168C"/>
    <w:rsid w:val="00981B5D"/>
    <w:rsid w:val="009820FD"/>
    <w:rsid w:val="00982E8E"/>
    <w:rsid w:val="009834A9"/>
    <w:rsid w:val="0098420B"/>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162F"/>
    <w:rsid w:val="009A22E1"/>
    <w:rsid w:val="009A28B6"/>
    <w:rsid w:val="009A2DBD"/>
    <w:rsid w:val="009A38E7"/>
    <w:rsid w:val="009A462D"/>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189F"/>
    <w:rsid w:val="009D1931"/>
    <w:rsid w:val="009D1A0A"/>
    <w:rsid w:val="009D1E0C"/>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5B1"/>
    <w:rsid w:val="009E61F3"/>
    <w:rsid w:val="009E78E7"/>
    <w:rsid w:val="009E7E2D"/>
    <w:rsid w:val="009F08F3"/>
    <w:rsid w:val="009F0EBC"/>
    <w:rsid w:val="009F0ED5"/>
    <w:rsid w:val="009F0F28"/>
    <w:rsid w:val="009F1A60"/>
    <w:rsid w:val="009F2069"/>
    <w:rsid w:val="009F2B8D"/>
    <w:rsid w:val="009F344F"/>
    <w:rsid w:val="009F390C"/>
    <w:rsid w:val="009F427D"/>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5E49"/>
    <w:rsid w:val="00A0635D"/>
    <w:rsid w:val="00A0642B"/>
    <w:rsid w:val="00A0672A"/>
    <w:rsid w:val="00A06CD3"/>
    <w:rsid w:val="00A06FA2"/>
    <w:rsid w:val="00A1051C"/>
    <w:rsid w:val="00A1094B"/>
    <w:rsid w:val="00A10999"/>
    <w:rsid w:val="00A10CD6"/>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0B36"/>
    <w:rsid w:val="00A3175E"/>
    <w:rsid w:val="00A32CF3"/>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D39"/>
    <w:rsid w:val="00A761D4"/>
    <w:rsid w:val="00A76DBB"/>
    <w:rsid w:val="00A7706C"/>
    <w:rsid w:val="00A77EC4"/>
    <w:rsid w:val="00A80575"/>
    <w:rsid w:val="00A80AC7"/>
    <w:rsid w:val="00A81256"/>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F66"/>
    <w:rsid w:val="00AA0FCD"/>
    <w:rsid w:val="00AA1ED6"/>
    <w:rsid w:val="00AA20D0"/>
    <w:rsid w:val="00AA2C82"/>
    <w:rsid w:val="00AA330A"/>
    <w:rsid w:val="00AA33C1"/>
    <w:rsid w:val="00AA361D"/>
    <w:rsid w:val="00AA43F2"/>
    <w:rsid w:val="00AA51D6"/>
    <w:rsid w:val="00AA5A4B"/>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C05"/>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AA3"/>
    <w:rsid w:val="00AD122E"/>
    <w:rsid w:val="00AD20C4"/>
    <w:rsid w:val="00AD22E6"/>
    <w:rsid w:val="00AD236B"/>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F08CA"/>
    <w:rsid w:val="00AF1C5D"/>
    <w:rsid w:val="00AF25D5"/>
    <w:rsid w:val="00AF2DE7"/>
    <w:rsid w:val="00AF32DD"/>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AF7E04"/>
    <w:rsid w:val="00B00240"/>
    <w:rsid w:val="00B006FE"/>
    <w:rsid w:val="00B007CB"/>
    <w:rsid w:val="00B01D07"/>
    <w:rsid w:val="00B025D7"/>
    <w:rsid w:val="00B02A2D"/>
    <w:rsid w:val="00B02A43"/>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5E5"/>
    <w:rsid w:val="00B125F7"/>
    <w:rsid w:val="00B139E0"/>
    <w:rsid w:val="00B13E74"/>
    <w:rsid w:val="00B152F4"/>
    <w:rsid w:val="00B1542D"/>
    <w:rsid w:val="00B157F9"/>
    <w:rsid w:val="00B15F66"/>
    <w:rsid w:val="00B16272"/>
    <w:rsid w:val="00B167F1"/>
    <w:rsid w:val="00B16FFF"/>
    <w:rsid w:val="00B17033"/>
    <w:rsid w:val="00B176C4"/>
    <w:rsid w:val="00B177FE"/>
    <w:rsid w:val="00B20256"/>
    <w:rsid w:val="00B2074F"/>
    <w:rsid w:val="00B2097E"/>
    <w:rsid w:val="00B20D09"/>
    <w:rsid w:val="00B2133E"/>
    <w:rsid w:val="00B21604"/>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5A52"/>
    <w:rsid w:val="00B46175"/>
    <w:rsid w:val="00B46AD4"/>
    <w:rsid w:val="00B46E76"/>
    <w:rsid w:val="00B47BEE"/>
    <w:rsid w:val="00B47EDA"/>
    <w:rsid w:val="00B50B57"/>
    <w:rsid w:val="00B50C4B"/>
    <w:rsid w:val="00B51602"/>
    <w:rsid w:val="00B51FEE"/>
    <w:rsid w:val="00B52A53"/>
    <w:rsid w:val="00B52A99"/>
    <w:rsid w:val="00B52D7F"/>
    <w:rsid w:val="00B53ED8"/>
    <w:rsid w:val="00B54FC5"/>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16B4"/>
    <w:rsid w:val="00B739F6"/>
    <w:rsid w:val="00B74D07"/>
    <w:rsid w:val="00B75A18"/>
    <w:rsid w:val="00B75C40"/>
    <w:rsid w:val="00B75D28"/>
    <w:rsid w:val="00B768FE"/>
    <w:rsid w:val="00B76AE7"/>
    <w:rsid w:val="00B76EA2"/>
    <w:rsid w:val="00B76EFA"/>
    <w:rsid w:val="00B77A05"/>
    <w:rsid w:val="00B77A81"/>
    <w:rsid w:val="00B77D15"/>
    <w:rsid w:val="00B77EC9"/>
    <w:rsid w:val="00B80475"/>
    <w:rsid w:val="00B81698"/>
    <w:rsid w:val="00B81A6C"/>
    <w:rsid w:val="00B81AD8"/>
    <w:rsid w:val="00B82151"/>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6D4"/>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6D9F"/>
    <w:rsid w:val="00BC7044"/>
    <w:rsid w:val="00BD1169"/>
    <w:rsid w:val="00BD1823"/>
    <w:rsid w:val="00BD18B8"/>
    <w:rsid w:val="00BD1AA5"/>
    <w:rsid w:val="00BD1E19"/>
    <w:rsid w:val="00BD27AF"/>
    <w:rsid w:val="00BD48AC"/>
    <w:rsid w:val="00BD4997"/>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3CF5"/>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5A9"/>
    <w:rsid w:val="00C279B5"/>
    <w:rsid w:val="00C27BD2"/>
    <w:rsid w:val="00C27C45"/>
    <w:rsid w:val="00C30691"/>
    <w:rsid w:val="00C30833"/>
    <w:rsid w:val="00C30F0B"/>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6A28"/>
    <w:rsid w:val="00C57D72"/>
    <w:rsid w:val="00C57EF3"/>
    <w:rsid w:val="00C603E2"/>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0F9"/>
    <w:rsid w:val="00C662E2"/>
    <w:rsid w:val="00C67803"/>
    <w:rsid w:val="00C7057C"/>
    <w:rsid w:val="00C70697"/>
    <w:rsid w:val="00C722B1"/>
    <w:rsid w:val="00C72EF4"/>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8D"/>
    <w:rsid w:val="00C93196"/>
    <w:rsid w:val="00C93B42"/>
    <w:rsid w:val="00C93C4B"/>
    <w:rsid w:val="00C944AB"/>
    <w:rsid w:val="00C953CF"/>
    <w:rsid w:val="00C95B40"/>
    <w:rsid w:val="00C963BC"/>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B11DE"/>
    <w:rsid w:val="00CB1432"/>
    <w:rsid w:val="00CB1810"/>
    <w:rsid w:val="00CB1D2A"/>
    <w:rsid w:val="00CB1E82"/>
    <w:rsid w:val="00CB1F63"/>
    <w:rsid w:val="00CB240B"/>
    <w:rsid w:val="00CB2C47"/>
    <w:rsid w:val="00CB31CC"/>
    <w:rsid w:val="00CB38F5"/>
    <w:rsid w:val="00CB3969"/>
    <w:rsid w:val="00CB3B3A"/>
    <w:rsid w:val="00CB3BBF"/>
    <w:rsid w:val="00CB40A6"/>
    <w:rsid w:val="00CB43B7"/>
    <w:rsid w:val="00CB46CA"/>
    <w:rsid w:val="00CB4A54"/>
    <w:rsid w:val="00CB4D66"/>
    <w:rsid w:val="00CB59E0"/>
    <w:rsid w:val="00CB61EF"/>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F1354"/>
    <w:rsid w:val="00CF1397"/>
    <w:rsid w:val="00CF27E3"/>
    <w:rsid w:val="00CF3A80"/>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CE4"/>
    <w:rsid w:val="00D2006E"/>
    <w:rsid w:val="00D20522"/>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6DBF"/>
    <w:rsid w:val="00D2740F"/>
    <w:rsid w:val="00D27F67"/>
    <w:rsid w:val="00D3005B"/>
    <w:rsid w:val="00D3014D"/>
    <w:rsid w:val="00D309CC"/>
    <w:rsid w:val="00D31995"/>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F30"/>
    <w:rsid w:val="00D50A06"/>
    <w:rsid w:val="00D512FF"/>
    <w:rsid w:val="00D51F60"/>
    <w:rsid w:val="00D52012"/>
    <w:rsid w:val="00D52BA3"/>
    <w:rsid w:val="00D5303E"/>
    <w:rsid w:val="00D533ED"/>
    <w:rsid w:val="00D54206"/>
    <w:rsid w:val="00D546FF"/>
    <w:rsid w:val="00D548D1"/>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25CD"/>
    <w:rsid w:val="00D73192"/>
    <w:rsid w:val="00D73427"/>
    <w:rsid w:val="00D73A16"/>
    <w:rsid w:val="00D74277"/>
    <w:rsid w:val="00D74AEC"/>
    <w:rsid w:val="00D74F31"/>
    <w:rsid w:val="00D7751A"/>
    <w:rsid w:val="00D777E0"/>
    <w:rsid w:val="00D77B1D"/>
    <w:rsid w:val="00D77FDA"/>
    <w:rsid w:val="00D8021F"/>
    <w:rsid w:val="00D80383"/>
    <w:rsid w:val="00D80ADB"/>
    <w:rsid w:val="00D80B3E"/>
    <w:rsid w:val="00D81DFE"/>
    <w:rsid w:val="00D81F78"/>
    <w:rsid w:val="00D8201A"/>
    <w:rsid w:val="00D823C6"/>
    <w:rsid w:val="00D82883"/>
    <w:rsid w:val="00D82E25"/>
    <w:rsid w:val="00D837A0"/>
    <w:rsid w:val="00D86189"/>
    <w:rsid w:val="00D86B71"/>
    <w:rsid w:val="00D86CA3"/>
    <w:rsid w:val="00D87003"/>
    <w:rsid w:val="00D871CE"/>
    <w:rsid w:val="00D8787A"/>
    <w:rsid w:val="00D878A9"/>
    <w:rsid w:val="00D87C65"/>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7C1"/>
    <w:rsid w:val="00DB377D"/>
    <w:rsid w:val="00DB4499"/>
    <w:rsid w:val="00DB4C71"/>
    <w:rsid w:val="00DB4FFB"/>
    <w:rsid w:val="00DB591C"/>
    <w:rsid w:val="00DB7A41"/>
    <w:rsid w:val="00DC087B"/>
    <w:rsid w:val="00DC0BC3"/>
    <w:rsid w:val="00DC0D4D"/>
    <w:rsid w:val="00DC13A2"/>
    <w:rsid w:val="00DC18D2"/>
    <w:rsid w:val="00DC2B6F"/>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E06D0"/>
    <w:rsid w:val="00DE16A2"/>
    <w:rsid w:val="00DE1825"/>
    <w:rsid w:val="00DE1A37"/>
    <w:rsid w:val="00DE1ADF"/>
    <w:rsid w:val="00DE3171"/>
    <w:rsid w:val="00DE320C"/>
    <w:rsid w:val="00DE356B"/>
    <w:rsid w:val="00DE36CE"/>
    <w:rsid w:val="00DE4C2B"/>
    <w:rsid w:val="00DE4D1B"/>
    <w:rsid w:val="00DE4FDC"/>
    <w:rsid w:val="00DE5608"/>
    <w:rsid w:val="00DE58D0"/>
    <w:rsid w:val="00DE654F"/>
    <w:rsid w:val="00DE7C1F"/>
    <w:rsid w:val="00DF0469"/>
    <w:rsid w:val="00DF0B6E"/>
    <w:rsid w:val="00DF0DF2"/>
    <w:rsid w:val="00DF15E0"/>
    <w:rsid w:val="00DF2B54"/>
    <w:rsid w:val="00DF318B"/>
    <w:rsid w:val="00DF3520"/>
    <w:rsid w:val="00DF369C"/>
    <w:rsid w:val="00DF37A0"/>
    <w:rsid w:val="00DF3B7B"/>
    <w:rsid w:val="00DF4008"/>
    <w:rsid w:val="00DF45B5"/>
    <w:rsid w:val="00DF4EA1"/>
    <w:rsid w:val="00DF4F61"/>
    <w:rsid w:val="00DF6056"/>
    <w:rsid w:val="00DF7559"/>
    <w:rsid w:val="00E006FD"/>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601"/>
    <w:rsid w:val="00E209C7"/>
    <w:rsid w:val="00E20A0E"/>
    <w:rsid w:val="00E20FEC"/>
    <w:rsid w:val="00E22330"/>
    <w:rsid w:val="00E2423D"/>
    <w:rsid w:val="00E24340"/>
    <w:rsid w:val="00E24460"/>
    <w:rsid w:val="00E24518"/>
    <w:rsid w:val="00E24FD3"/>
    <w:rsid w:val="00E25353"/>
    <w:rsid w:val="00E25AE6"/>
    <w:rsid w:val="00E30B5A"/>
    <w:rsid w:val="00E3120E"/>
    <w:rsid w:val="00E3123D"/>
    <w:rsid w:val="00E31461"/>
    <w:rsid w:val="00E31D43"/>
    <w:rsid w:val="00E32189"/>
    <w:rsid w:val="00E32608"/>
    <w:rsid w:val="00E32773"/>
    <w:rsid w:val="00E33156"/>
    <w:rsid w:val="00E33CDD"/>
    <w:rsid w:val="00E34188"/>
    <w:rsid w:val="00E345CD"/>
    <w:rsid w:val="00E34B6E"/>
    <w:rsid w:val="00E34EEA"/>
    <w:rsid w:val="00E35559"/>
    <w:rsid w:val="00E359C0"/>
    <w:rsid w:val="00E35EF6"/>
    <w:rsid w:val="00E3663D"/>
    <w:rsid w:val="00E36EBA"/>
    <w:rsid w:val="00E371D3"/>
    <w:rsid w:val="00E3723A"/>
    <w:rsid w:val="00E374E2"/>
    <w:rsid w:val="00E37860"/>
    <w:rsid w:val="00E4025F"/>
    <w:rsid w:val="00E413B2"/>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6A36"/>
    <w:rsid w:val="00EA7056"/>
    <w:rsid w:val="00EA70B1"/>
    <w:rsid w:val="00EA765A"/>
    <w:rsid w:val="00EA7A41"/>
    <w:rsid w:val="00EB046F"/>
    <w:rsid w:val="00EB077B"/>
    <w:rsid w:val="00EB09F3"/>
    <w:rsid w:val="00EB3BA7"/>
    <w:rsid w:val="00EB3C74"/>
    <w:rsid w:val="00EB3DE6"/>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3AF2"/>
    <w:rsid w:val="00EE420E"/>
    <w:rsid w:val="00EE4C32"/>
    <w:rsid w:val="00EE5A1B"/>
    <w:rsid w:val="00EE6A74"/>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120"/>
    <w:rsid w:val="00F326AF"/>
    <w:rsid w:val="00F32B20"/>
    <w:rsid w:val="00F32D6C"/>
    <w:rsid w:val="00F33113"/>
    <w:rsid w:val="00F33232"/>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0FE8"/>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4C2B"/>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300F"/>
    <w:rsid w:val="00F8319E"/>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5E90"/>
    <w:rsid w:val="00FB60B2"/>
    <w:rsid w:val="00FB6A6A"/>
    <w:rsid w:val="00FB6AF7"/>
    <w:rsid w:val="00FB72D9"/>
    <w:rsid w:val="00FB743F"/>
    <w:rsid w:val="00FB7CAE"/>
    <w:rsid w:val="00FC132F"/>
    <w:rsid w:val="00FC14D6"/>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4EC7"/>
    <w:rsid w:val="00FD5C20"/>
    <w:rsid w:val="00FD6174"/>
    <w:rsid w:val="00FD653F"/>
    <w:rsid w:val="00FD74DB"/>
    <w:rsid w:val="00FD7660"/>
    <w:rsid w:val="00FD77AB"/>
    <w:rsid w:val="00FE00B2"/>
    <w:rsid w:val="00FE0655"/>
    <w:rsid w:val="00FE0C3E"/>
    <w:rsid w:val="00FE1336"/>
    <w:rsid w:val="00FE2365"/>
    <w:rsid w:val="00FE2A4D"/>
    <w:rsid w:val="00FE3C6C"/>
    <w:rsid w:val="00FE3D51"/>
    <w:rsid w:val="00FE4C7B"/>
    <w:rsid w:val="00FE58D1"/>
    <w:rsid w:val="00FE5CEC"/>
    <w:rsid w:val="00FE6BDD"/>
    <w:rsid w:val="00FE7336"/>
    <w:rsid w:val="00FE787C"/>
    <w:rsid w:val="00FF0BB8"/>
    <w:rsid w:val="00FF0CE1"/>
    <w:rsid w:val="00FF10FD"/>
    <w:rsid w:val="00FF3013"/>
    <w:rsid w:val="00FF42E9"/>
    <w:rsid w:val="00FF45A5"/>
    <w:rsid w:val="00FF4A5C"/>
    <w:rsid w:val="00FF547E"/>
    <w:rsid w:val="00FF57F3"/>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8C60E-DE9D-1B46-B055-845AD0F44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1101</TotalTime>
  <Pages>4</Pages>
  <Words>1504</Words>
  <Characters>8575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Microsoft Office User</cp:lastModifiedBy>
  <cp:revision>322</cp:revision>
  <cp:lastPrinted>2008-01-31T16:09:00Z</cp:lastPrinted>
  <dcterms:created xsi:type="dcterms:W3CDTF">2017-09-28T15:58:00Z</dcterms:created>
  <dcterms:modified xsi:type="dcterms:W3CDTF">2018-04-07T00:16:00Z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